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6513" w14:textId="0B680069" w:rsidR="003D72A0" w:rsidRPr="004452D9" w:rsidRDefault="00086E00" w:rsidP="004452D9">
      <w:pPr>
        <w:ind w:hanging="567"/>
      </w:pPr>
      <w:r>
        <w:rPr>
          <w:noProof/>
        </w:rPr>
        <w:drawing>
          <wp:inline distT="0" distB="0" distL="0" distR="0" wp14:anchorId="541E0389" wp14:editId="22830FD0">
            <wp:extent cx="6320155" cy="8658225"/>
            <wp:effectExtent l="0" t="0" r="4445"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26562" cy="8667002"/>
                    </a:xfrm>
                    <a:prstGeom prst="rect">
                      <a:avLst/>
                    </a:prstGeom>
                  </pic:spPr>
                </pic:pic>
              </a:graphicData>
            </a:graphic>
          </wp:inline>
        </w:drawing>
      </w:r>
    </w:p>
    <w:p w14:paraId="01EC959E" w14:textId="77777777" w:rsidR="003D72A0" w:rsidRDefault="003D72A0" w:rsidP="00B276B5">
      <w:pPr>
        <w:pStyle w:val="Title"/>
        <w:rPr>
          <w:rFonts w:cs="Arial"/>
          <w:color w:val="auto"/>
        </w:rPr>
      </w:pPr>
    </w:p>
    <w:p w14:paraId="02B6EAC6" w14:textId="55C85834" w:rsidR="00D939F4" w:rsidRDefault="00E40066" w:rsidP="00B276B5">
      <w:pPr>
        <w:pStyle w:val="Title"/>
        <w:rPr>
          <w:rFonts w:cs="Arial"/>
          <w:color w:val="auto"/>
        </w:rPr>
      </w:pPr>
      <w:r>
        <w:rPr>
          <w:rFonts w:cs="Arial"/>
          <w:color w:val="auto"/>
        </w:rPr>
        <w:t xml:space="preserve">Draft </w:t>
      </w:r>
      <w:r w:rsidR="00527BD0" w:rsidRPr="00B276B5">
        <w:rPr>
          <w:rFonts w:cs="Arial"/>
          <w:color w:val="auto"/>
        </w:rPr>
        <w:t>Healt</w:t>
      </w:r>
      <w:r w:rsidR="00FB3873" w:rsidRPr="00B276B5">
        <w:rPr>
          <w:rFonts w:cs="Arial"/>
          <w:color w:val="auto"/>
        </w:rPr>
        <w:t>h</w:t>
      </w:r>
      <w:r w:rsidR="00527BD0" w:rsidRPr="00B276B5">
        <w:rPr>
          <w:rFonts w:cs="Arial"/>
          <w:color w:val="auto"/>
        </w:rPr>
        <w:t>y</w:t>
      </w:r>
      <w:r w:rsidR="00D939F4" w:rsidRPr="00B276B5">
        <w:rPr>
          <w:rFonts w:cs="Arial"/>
          <w:color w:val="auto"/>
        </w:rPr>
        <w:t xml:space="preserve"> Ageing </w:t>
      </w:r>
      <w:r w:rsidR="000428FD" w:rsidRPr="00B276B5">
        <w:rPr>
          <w:rFonts w:cs="Arial"/>
          <w:color w:val="auto"/>
        </w:rPr>
        <w:t xml:space="preserve">Strategy </w:t>
      </w:r>
      <w:r w:rsidR="00312F02" w:rsidRPr="00B276B5">
        <w:rPr>
          <w:rFonts w:cs="Arial"/>
          <w:color w:val="auto"/>
        </w:rPr>
        <w:t>fo</w:t>
      </w:r>
      <w:r w:rsidR="00D939F4" w:rsidRPr="00B276B5">
        <w:rPr>
          <w:rFonts w:cs="Arial"/>
          <w:color w:val="auto"/>
        </w:rPr>
        <w:t>r the</w:t>
      </w:r>
      <w:r w:rsidR="00527BD0" w:rsidRPr="00B276B5">
        <w:rPr>
          <w:rFonts w:cs="Arial"/>
          <w:color w:val="auto"/>
        </w:rPr>
        <w:t xml:space="preserve"> Inner West 202</w:t>
      </w:r>
      <w:r>
        <w:rPr>
          <w:rFonts w:cs="Arial"/>
          <w:color w:val="auto"/>
        </w:rPr>
        <w:t>1</w:t>
      </w:r>
      <w:r w:rsidR="00527BD0" w:rsidRPr="00B276B5">
        <w:rPr>
          <w:rFonts w:cs="Arial"/>
          <w:color w:val="auto"/>
        </w:rPr>
        <w:t>-20</w:t>
      </w:r>
      <w:r w:rsidR="008A6CE3">
        <w:rPr>
          <w:rFonts w:cs="Arial"/>
          <w:color w:val="auto"/>
        </w:rPr>
        <w:t>25</w:t>
      </w:r>
    </w:p>
    <w:p w14:paraId="1708E5B6" w14:textId="77777777" w:rsidR="00FD0759" w:rsidRPr="00FD0759" w:rsidRDefault="00FD0759" w:rsidP="00FD0759"/>
    <w:bookmarkStart w:id="0" w:name="_Toc71633289" w:displacedByCustomXml="next"/>
    <w:sdt>
      <w:sdtPr>
        <w:rPr>
          <w:rFonts w:ascii="Arial" w:eastAsiaTheme="minorHAnsi" w:hAnsi="Arial" w:cs="Arial"/>
          <w:b w:val="0"/>
          <w:bCs w:val="0"/>
          <w:color w:val="auto"/>
          <w:sz w:val="22"/>
          <w:szCs w:val="22"/>
        </w:rPr>
        <w:id w:val="524912621"/>
        <w:docPartObj>
          <w:docPartGallery w:val="Table of Contents"/>
          <w:docPartUnique/>
        </w:docPartObj>
      </w:sdtPr>
      <w:sdtEndPr>
        <w:rPr>
          <w:noProof/>
        </w:rPr>
      </w:sdtEndPr>
      <w:sdtContent>
        <w:p w14:paraId="5A767336" w14:textId="4910E5CF" w:rsidR="00C04CDC" w:rsidRPr="00B276B5" w:rsidRDefault="00C04CDC" w:rsidP="00C4292C">
          <w:pPr>
            <w:pStyle w:val="Heading2"/>
            <w:rPr>
              <w:rFonts w:cs="Arial"/>
              <w:color w:val="auto"/>
            </w:rPr>
          </w:pPr>
          <w:r w:rsidRPr="00B276B5">
            <w:rPr>
              <w:rFonts w:cs="Arial"/>
              <w:color w:val="auto"/>
            </w:rPr>
            <w:t>Contents</w:t>
          </w:r>
          <w:bookmarkEnd w:id="0"/>
        </w:p>
        <w:p w14:paraId="3CD6C355" w14:textId="77777777" w:rsidR="003743C0" w:rsidRDefault="00E3118F" w:rsidP="00F5292C">
          <w:pPr>
            <w:pStyle w:val="TOC2"/>
            <w:tabs>
              <w:tab w:val="right" w:leader="dot" w:pos="9016"/>
            </w:tabs>
            <w:rPr>
              <w:noProof/>
            </w:rPr>
          </w:pPr>
          <w:r>
            <w:t xml:space="preserve">Table of </w:t>
          </w:r>
          <w:r w:rsidR="00C04CDC" w:rsidRPr="00B276B5">
            <w:fldChar w:fldCharType="begin"/>
          </w:r>
          <w:r w:rsidR="00C04CDC" w:rsidRPr="00B276B5">
            <w:instrText xml:space="preserve"> TOC \o "1-3" \h \z \u </w:instrText>
          </w:r>
          <w:r w:rsidR="00C04CDC" w:rsidRPr="00B276B5">
            <w:fldChar w:fldCharType="separate"/>
          </w:r>
        </w:p>
        <w:p w14:paraId="16106A20" w14:textId="59F9011E" w:rsidR="003743C0" w:rsidRDefault="003743C0">
          <w:pPr>
            <w:pStyle w:val="TOC2"/>
            <w:tabs>
              <w:tab w:val="right" w:leader="dot" w:pos="9016"/>
            </w:tabs>
            <w:rPr>
              <w:rFonts w:asciiTheme="minorHAnsi" w:eastAsiaTheme="minorEastAsia" w:hAnsiTheme="minorHAnsi" w:cstheme="minorBidi"/>
              <w:noProof/>
              <w:lang w:eastAsia="en-AU"/>
            </w:rPr>
          </w:pPr>
          <w:hyperlink w:anchor="_Toc71633289" w:history="1">
            <w:r w:rsidRPr="004F56BF">
              <w:rPr>
                <w:rStyle w:val="Hyperlink"/>
                <w:noProof/>
              </w:rPr>
              <w:t>Contents</w:t>
            </w:r>
            <w:r>
              <w:rPr>
                <w:noProof/>
                <w:webHidden/>
              </w:rPr>
              <w:tab/>
            </w:r>
            <w:r>
              <w:rPr>
                <w:noProof/>
                <w:webHidden/>
              </w:rPr>
              <w:fldChar w:fldCharType="begin"/>
            </w:r>
            <w:r>
              <w:rPr>
                <w:noProof/>
                <w:webHidden/>
              </w:rPr>
              <w:instrText xml:space="preserve"> PAGEREF _Toc71633289 \h </w:instrText>
            </w:r>
            <w:r>
              <w:rPr>
                <w:noProof/>
                <w:webHidden/>
              </w:rPr>
            </w:r>
            <w:r>
              <w:rPr>
                <w:noProof/>
                <w:webHidden/>
              </w:rPr>
              <w:fldChar w:fldCharType="separate"/>
            </w:r>
            <w:r>
              <w:rPr>
                <w:noProof/>
                <w:webHidden/>
              </w:rPr>
              <w:t>2</w:t>
            </w:r>
            <w:r>
              <w:rPr>
                <w:noProof/>
                <w:webHidden/>
              </w:rPr>
              <w:fldChar w:fldCharType="end"/>
            </w:r>
          </w:hyperlink>
        </w:p>
        <w:p w14:paraId="0EC403BA" w14:textId="0B8037A0" w:rsidR="003743C0" w:rsidRDefault="003743C0">
          <w:pPr>
            <w:pStyle w:val="TOC1"/>
            <w:tabs>
              <w:tab w:val="right" w:leader="dot" w:pos="9016"/>
            </w:tabs>
            <w:rPr>
              <w:rFonts w:asciiTheme="minorHAnsi" w:eastAsiaTheme="minorEastAsia" w:hAnsiTheme="minorHAnsi" w:cstheme="minorBidi"/>
              <w:noProof/>
              <w:lang w:eastAsia="en-AU"/>
            </w:rPr>
          </w:pPr>
          <w:hyperlink w:anchor="_Toc71633290" w:history="1">
            <w:r w:rsidRPr="004F56BF">
              <w:rPr>
                <w:rStyle w:val="Hyperlink"/>
                <w:noProof/>
              </w:rPr>
              <w:t>Aboriginal and Torres Strait Islander Statement</w:t>
            </w:r>
            <w:r>
              <w:rPr>
                <w:noProof/>
                <w:webHidden/>
              </w:rPr>
              <w:tab/>
            </w:r>
            <w:r>
              <w:rPr>
                <w:noProof/>
                <w:webHidden/>
              </w:rPr>
              <w:fldChar w:fldCharType="begin"/>
            </w:r>
            <w:r>
              <w:rPr>
                <w:noProof/>
                <w:webHidden/>
              </w:rPr>
              <w:instrText xml:space="preserve"> PAGEREF _Toc71633290 \h </w:instrText>
            </w:r>
            <w:r>
              <w:rPr>
                <w:noProof/>
                <w:webHidden/>
              </w:rPr>
            </w:r>
            <w:r>
              <w:rPr>
                <w:noProof/>
                <w:webHidden/>
              </w:rPr>
              <w:fldChar w:fldCharType="separate"/>
            </w:r>
            <w:r>
              <w:rPr>
                <w:noProof/>
                <w:webHidden/>
              </w:rPr>
              <w:t>3</w:t>
            </w:r>
            <w:r>
              <w:rPr>
                <w:noProof/>
                <w:webHidden/>
              </w:rPr>
              <w:fldChar w:fldCharType="end"/>
            </w:r>
          </w:hyperlink>
        </w:p>
        <w:p w14:paraId="10CFAF98" w14:textId="649CAD5A" w:rsidR="003743C0" w:rsidRDefault="003743C0">
          <w:pPr>
            <w:pStyle w:val="TOC1"/>
            <w:tabs>
              <w:tab w:val="right" w:leader="dot" w:pos="9016"/>
            </w:tabs>
            <w:rPr>
              <w:rFonts w:asciiTheme="minorHAnsi" w:eastAsiaTheme="minorEastAsia" w:hAnsiTheme="minorHAnsi" w:cstheme="minorBidi"/>
              <w:noProof/>
              <w:lang w:eastAsia="en-AU"/>
            </w:rPr>
          </w:pPr>
          <w:hyperlink w:anchor="_Toc71633291" w:history="1">
            <w:r w:rsidRPr="004F56BF">
              <w:rPr>
                <w:rStyle w:val="Hyperlink"/>
                <w:noProof/>
              </w:rPr>
              <w:t>Executive Summary</w:t>
            </w:r>
            <w:r>
              <w:rPr>
                <w:noProof/>
                <w:webHidden/>
              </w:rPr>
              <w:tab/>
            </w:r>
            <w:r>
              <w:rPr>
                <w:noProof/>
                <w:webHidden/>
              </w:rPr>
              <w:fldChar w:fldCharType="begin"/>
            </w:r>
            <w:r>
              <w:rPr>
                <w:noProof/>
                <w:webHidden/>
              </w:rPr>
              <w:instrText xml:space="preserve"> PAGEREF _Toc71633291 \h </w:instrText>
            </w:r>
            <w:r>
              <w:rPr>
                <w:noProof/>
                <w:webHidden/>
              </w:rPr>
            </w:r>
            <w:r>
              <w:rPr>
                <w:noProof/>
                <w:webHidden/>
              </w:rPr>
              <w:fldChar w:fldCharType="separate"/>
            </w:r>
            <w:r>
              <w:rPr>
                <w:noProof/>
                <w:webHidden/>
              </w:rPr>
              <w:t>3</w:t>
            </w:r>
            <w:r>
              <w:rPr>
                <w:noProof/>
                <w:webHidden/>
              </w:rPr>
              <w:fldChar w:fldCharType="end"/>
            </w:r>
          </w:hyperlink>
        </w:p>
        <w:p w14:paraId="0A901677" w14:textId="0942219D" w:rsidR="003743C0" w:rsidRDefault="003743C0">
          <w:pPr>
            <w:pStyle w:val="TOC1"/>
            <w:tabs>
              <w:tab w:val="right" w:leader="dot" w:pos="9016"/>
            </w:tabs>
            <w:rPr>
              <w:rFonts w:asciiTheme="minorHAnsi" w:eastAsiaTheme="minorEastAsia" w:hAnsiTheme="minorHAnsi" w:cstheme="minorBidi"/>
              <w:noProof/>
              <w:lang w:eastAsia="en-AU"/>
            </w:rPr>
          </w:pPr>
          <w:hyperlink w:anchor="_Toc71633292" w:history="1">
            <w:r w:rsidRPr="004F56BF">
              <w:rPr>
                <w:rStyle w:val="Hyperlink"/>
                <w:noProof/>
              </w:rPr>
              <w:t>Introduction</w:t>
            </w:r>
            <w:r>
              <w:rPr>
                <w:noProof/>
                <w:webHidden/>
              </w:rPr>
              <w:tab/>
            </w:r>
            <w:r>
              <w:rPr>
                <w:noProof/>
                <w:webHidden/>
              </w:rPr>
              <w:fldChar w:fldCharType="begin"/>
            </w:r>
            <w:r>
              <w:rPr>
                <w:noProof/>
                <w:webHidden/>
              </w:rPr>
              <w:instrText xml:space="preserve"> PAGEREF _Toc71633292 \h </w:instrText>
            </w:r>
            <w:r>
              <w:rPr>
                <w:noProof/>
                <w:webHidden/>
              </w:rPr>
            </w:r>
            <w:r>
              <w:rPr>
                <w:noProof/>
                <w:webHidden/>
              </w:rPr>
              <w:fldChar w:fldCharType="separate"/>
            </w:r>
            <w:r>
              <w:rPr>
                <w:noProof/>
                <w:webHidden/>
              </w:rPr>
              <w:t>4</w:t>
            </w:r>
            <w:r>
              <w:rPr>
                <w:noProof/>
                <w:webHidden/>
              </w:rPr>
              <w:fldChar w:fldCharType="end"/>
            </w:r>
          </w:hyperlink>
        </w:p>
        <w:p w14:paraId="54BA8834" w14:textId="4F07659A" w:rsidR="003743C0" w:rsidRDefault="003743C0">
          <w:pPr>
            <w:pStyle w:val="TOC1"/>
            <w:tabs>
              <w:tab w:val="right" w:leader="dot" w:pos="9016"/>
            </w:tabs>
            <w:rPr>
              <w:rFonts w:asciiTheme="minorHAnsi" w:eastAsiaTheme="minorEastAsia" w:hAnsiTheme="minorHAnsi" w:cstheme="minorBidi"/>
              <w:noProof/>
              <w:lang w:eastAsia="en-AU"/>
            </w:rPr>
          </w:pPr>
          <w:hyperlink w:anchor="_Toc71633293" w:history="1">
            <w:r w:rsidRPr="004F56BF">
              <w:rPr>
                <w:rStyle w:val="Hyperlink"/>
                <w:noProof/>
              </w:rPr>
              <w:t>What is healthy ageing?</w:t>
            </w:r>
            <w:r>
              <w:rPr>
                <w:noProof/>
                <w:webHidden/>
              </w:rPr>
              <w:tab/>
            </w:r>
            <w:r>
              <w:rPr>
                <w:noProof/>
                <w:webHidden/>
              </w:rPr>
              <w:fldChar w:fldCharType="begin"/>
            </w:r>
            <w:r>
              <w:rPr>
                <w:noProof/>
                <w:webHidden/>
              </w:rPr>
              <w:instrText xml:space="preserve"> PAGEREF _Toc71633293 \h </w:instrText>
            </w:r>
            <w:r>
              <w:rPr>
                <w:noProof/>
                <w:webHidden/>
              </w:rPr>
            </w:r>
            <w:r>
              <w:rPr>
                <w:noProof/>
                <w:webHidden/>
              </w:rPr>
              <w:fldChar w:fldCharType="separate"/>
            </w:r>
            <w:r>
              <w:rPr>
                <w:noProof/>
                <w:webHidden/>
              </w:rPr>
              <w:t>4</w:t>
            </w:r>
            <w:r>
              <w:rPr>
                <w:noProof/>
                <w:webHidden/>
              </w:rPr>
              <w:fldChar w:fldCharType="end"/>
            </w:r>
          </w:hyperlink>
        </w:p>
        <w:p w14:paraId="13081CD8" w14:textId="069F8383" w:rsidR="003743C0" w:rsidRDefault="003743C0">
          <w:pPr>
            <w:pStyle w:val="TOC1"/>
            <w:tabs>
              <w:tab w:val="right" w:leader="dot" w:pos="9016"/>
            </w:tabs>
            <w:rPr>
              <w:rFonts w:asciiTheme="minorHAnsi" w:eastAsiaTheme="minorEastAsia" w:hAnsiTheme="minorHAnsi" w:cstheme="minorBidi"/>
              <w:noProof/>
              <w:lang w:eastAsia="en-AU"/>
            </w:rPr>
          </w:pPr>
          <w:hyperlink w:anchor="_Toc71633294" w:history="1">
            <w:r w:rsidRPr="004F56BF">
              <w:rPr>
                <w:rStyle w:val="Hyperlink"/>
                <w:noProof/>
              </w:rPr>
              <w:t xml:space="preserve">How was the </w:t>
            </w:r>
            <w:r w:rsidRPr="004F56BF">
              <w:rPr>
                <w:rStyle w:val="Hyperlink"/>
                <w:i/>
                <w:iCs/>
                <w:noProof/>
              </w:rPr>
              <w:t>Healthy Ageing Strategy</w:t>
            </w:r>
            <w:r w:rsidRPr="004F56BF">
              <w:rPr>
                <w:rStyle w:val="Hyperlink"/>
                <w:noProof/>
              </w:rPr>
              <w:t xml:space="preserve"> developed?</w:t>
            </w:r>
            <w:r>
              <w:rPr>
                <w:noProof/>
                <w:webHidden/>
              </w:rPr>
              <w:tab/>
            </w:r>
            <w:r>
              <w:rPr>
                <w:noProof/>
                <w:webHidden/>
              </w:rPr>
              <w:fldChar w:fldCharType="begin"/>
            </w:r>
            <w:r>
              <w:rPr>
                <w:noProof/>
                <w:webHidden/>
              </w:rPr>
              <w:instrText xml:space="preserve"> PAGEREF _Toc71633294 \h </w:instrText>
            </w:r>
            <w:r>
              <w:rPr>
                <w:noProof/>
                <w:webHidden/>
              </w:rPr>
            </w:r>
            <w:r>
              <w:rPr>
                <w:noProof/>
                <w:webHidden/>
              </w:rPr>
              <w:fldChar w:fldCharType="separate"/>
            </w:r>
            <w:r>
              <w:rPr>
                <w:noProof/>
                <w:webHidden/>
              </w:rPr>
              <w:t>5</w:t>
            </w:r>
            <w:r>
              <w:rPr>
                <w:noProof/>
                <w:webHidden/>
              </w:rPr>
              <w:fldChar w:fldCharType="end"/>
            </w:r>
          </w:hyperlink>
        </w:p>
        <w:p w14:paraId="394737CD" w14:textId="722C7726" w:rsidR="003743C0" w:rsidRDefault="003743C0">
          <w:pPr>
            <w:pStyle w:val="TOC2"/>
            <w:tabs>
              <w:tab w:val="right" w:leader="dot" w:pos="9016"/>
            </w:tabs>
            <w:rPr>
              <w:rFonts w:asciiTheme="minorHAnsi" w:eastAsiaTheme="minorEastAsia" w:hAnsiTheme="minorHAnsi" w:cstheme="minorBidi"/>
              <w:noProof/>
              <w:lang w:eastAsia="en-AU"/>
            </w:rPr>
          </w:pPr>
          <w:hyperlink w:anchor="_Toc71633295" w:history="1">
            <w:r w:rsidRPr="004F56BF">
              <w:rPr>
                <w:rStyle w:val="Hyperlink"/>
                <w:noProof/>
              </w:rPr>
              <w:t>Profile of ageing in the Inner West</w:t>
            </w:r>
            <w:r>
              <w:rPr>
                <w:noProof/>
                <w:webHidden/>
              </w:rPr>
              <w:tab/>
            </w:r>
            <w:r>
              <w:rPr>
                <w:noProof/>
                <w:webHidden/>
              </w:rPr>
              <w:fldChar w:fldCharType="begin"/>
            </w:r>
            <w:r>
              <w:rPr>
                <w:noProof/>
                <w:webHidden/>
              </w:rPr>
              <w:instrText xml:space="preserve"> PAGEREF _Toc71633295 \h </w:instrText>
            </w:r>
            <w:r>
              <w:rPr>
                <w:noProof/>
                <w:webHidden/>
              </w:rPr>
            </w:r>
            <w:r>
              <w:rPr>
                <w:noProof/>
                <w:webHidden/>
              </w:rPr>
              <w:fldChar w:fldCharType="separate"/>
            </w:r>
            <w:r>
              <w:rPr>
                <w:noProof/>
                <w:webHidden/>
              </w:rPr>
              <w:t>5</w:t>
            </w:r>
            <w:r>
              <w:rPr>
                <w:noProof/>
                <w:webHidden/>
              </w:rPr>
              <w:fldChar w:fldCharType="end"/>
            </w:r>
          </w:hyperlink>
        </w:p>
        <w:p w14:paraId="7C348930" w14:textId="058607D8" w:rsidR="003743C0" w:rsidRDefault="003743C0">
          <w:pPr>
            <w:pStyle w:val="TOC1"/>
            <w:tabs>
              <w:tab w:val="right" w:leader="dot" w:pos="9016"/>
            </w:tabs>
            <w:rPr>
              <w:rFonts w:asciiTheme="minorHAnsi" w:eastAsiaTheme="minorEastAsia" w:hAnsiTheme="minorHAnsi" w:cstheme="minorBidi"/>
              <w:noProof/>
              <w:lang w:eastAsia="en-AU"/>
            </w:rPr>
          </w:pPr>
          <w:hyperlink w:anchor="_Toc71633296" w:history="1">
            <w:r w:rsidRPr="004F56BF">
              <w:rPr>
                <w:rStyle w:val="Hyperlink"/>
                <w:noProof/>
              </w:rPr>
              <w:t>Strategic approach</w:t>
            </w:r>
            <w:r>
              <w:rPr>
                <w:noProof/>
                <w:webHidden/>
              </w:rPr>
              <w:tab/>
            </w:r>
            <w:r>
              <w:rPr>
                <w:noProof/>
                <w:webHidden/>
              </w:rPr>
              <w:fldChar w:fldCharType="begin"/>
            </w:r>
            <w:r>
              <w:rPr>
                <w:noProof/>
                <w:webHidden/>
              </w:rPr>
              <w:instrText xml:space="preserve"> PAGEREF _Toc71633296 \h </w:instrText>
            </w:r>
            <w:r>
              <w:rPr>
                <w:noProof/>
                <w:webHidden/>
              </w:rPr>
            </w:r>
            <w:r>
              <w:rPr>
                <w:noProof/>
                <w:webHidden/>
              </w:rPr>
              <w:fldChar w:fldCharType="separate"/>
            </w:r>
            <w:r>
              <w:rPr>
                <w:noProof/>
                <w:webHidden/>
              </w:rPr>
              <w:t>7</w:t>
            </w:r>
            <w:r>
              <w:rPr>
                <w:noProof/>
                <w:webHidden/>
              </w:rPr>
              <w:fldChar w:fldCharType="end"/>
            </w:r>
          </w:hyperlink>
        </w:p>
        <w:p w14:paraId="067FEEDA" w14:textId="6ECA216D" w:rsidR="003743C0" w:rsidRDefault="003743C0">
          <w:pPr>
            <w:pStyle w:val="TOC2"/>
            <w:tabs>
              <w:tab w:val="right" w:leader="dot" w:pos="9016"/>
            </w:tabs>
            <w:rPr>
              <w:rFonts w:asciiTheme="minorHAnsi" w:eastAsiaTheme="minorEastAsia" w:hAnsiTheme="minorHAnsi" w:cstheme="minorBidi"/>
              <w:noProof/>
              <w:lang w:eastAsia="en-AU"/>
            </w:rPr>
          </w:pPr>
          <w:hyperlink w:anchor="_Toc71633297" w:history="1">
            <w:r w:rsidRPr="004F56BF">
              <w:rPr>
                <w:rStyle w:val="Hyperlink"/>
                <w:noProof/>
              </w:rPr>
              <w:t>Key priorities for Council action</w:t>
            </w:r>
            <w:r>
              <w:rPr>
                <w:noProof/>
                <w:webHidden/>
              </w:rPr>
              <w:tab/>
            </w:r>
            <w:r>
              <w:rPr>
                <w:noProof/>
                <w:webHidden/>
              </w:rPr>
              <w:fldChar w:fldCharType="begin"/>
            </w:r>
            <w:r>
              <w:rPr>
                <w:noProof/>
                <w:webHidden/>
              </w:rPr>
              <w:instrText xml:space="preserve"> PAGEREF _Toc71633297 \h </w:instrText>
            </w:r>
            <w:r>
              <w:rPr>
                <w:noProof/>
                <w:webHidden/>
              </w:rPr>
            </w:r>
            <w:r>
              <w:rPr>
                <w:noProof/>
                <w:webHidden/>
              </w:rPr>
              <w:fldChar w:fldCharType="separate"/>
            </w:r>
            <w:r>
              <w:rPr>
                <w:noProof/>
                <w:webHidden/>
              </w:rPr>
              <w:t>7</w:t>
            </w:r>
            <w:r>
              <w:rPr>
                <w:noProof/>
                <w:webHidden/>
              </w:rPr>
              <w:fldChar w:fldCharType="end"/>
            </w:r>
          </w:hyperlink>
        </w:p>
        <w:p w14:paraId="74FAD0C6" w14:textId="68D76213" w:rsidR="003743C0" w:rsidRDefault="003743C0">
          <w:pPr>
            <w:pStyle w:val="TOC2"/>
            <w:tabs>
              <w:tab w:val="right" w:leader="dot" w:pos="9016"/>
            </w:tabs>
            <w:rPr>
              <w:rFonts w:asciiTheme="minorHAnsi" w:eastAsiaTheme="minorEastAsia" w:hAnsiTheme="minorHAnsi" w:cstheme="minorBidi"/>
              <w:noProof/>
              <w:lang w:eastAsia="en-AU"/>
            </w:rPr>
          </w:pPr>
          <w:hyperlink w:anchor="_Toc71633298" w:history="1">
            <w:r w:rsidRPr="004F56BF">
              <w:rPr>
                <w:rStyle w:val="Hyperlink"/>
                <w:noProof/>
              </w:rPr>
              <w:t>Council’s role</w:t>
            </w:r>
            <w:r>
              <w:rPr>
                <w:noProof/>
                <w:webHidden/>
              </w:rPr>
              <w:tab/>
            </w:r>
            <w:r>
              <w:rPr>
                <w:noProof/>
                <w:webHidden/>
              </w:rPr>
              <w:fldChar w:fldCharType="begin"/>
            </w:r>
            <w:r>
              <w:rPr>
                <w:noProof/>
                <w:webHidden/>
              </w:rPr>
              <w:instrText xml:space="preserve"> PAGEREF _Toc71633298 \h </w:instrText>
            </w:r>
            <w:r>
              <w:rPr>
                <w:noProof/>
                <w:webHidden/>
              </w:rPr>
            </w:r>
            <w:r>
              <w:rPr>
                <w:noProof/>
                <w:webHidden/>
              </w:rPr>
              <w:fldChar w:fldCharType="separate"/>
            </w:r>
            <w:r>
              <w:rPr>
                <w:noProof/>
                <w:webHidden/>
              </w:rPr>
              <w:t>7</w:t>
            </w:r>
            <w:r>
              <w:rPr>
                <w:noProof/>
                <w:webHidden/>
              </w:rPr>
              <w:fldChar w:fldCharType="end"/>
            </w:r>
          </w:hyperlink>
        </w:p>
        <w:p w14:paraId="552822E1" w14:textId="1A4813CD" w:rsidR="003743C0" w:rsidRDefault="003743C0">
          <w:pPr>
            <w:pStyle w:val="TOC2"/>
            <w:tabs>
              <w:tab w:val="right" w:leader="dot" w:pos="9016"/>
            </w:tabs>
            <w:rPr>
              <w:rFonts w:asciiTheme="minorHAnsi" w:eastAsiaTheme="minorEastAsia" w:hAnsiTheme="minorHAnsi" w:cstheme="minorBidi"/>
              <w:noProof/>
              <w:lang w:eastAsia="en-AU"/>
            </w:rPr>
          </w:pPr>
          <w:hyperlink w:anchor="_Toc71633299" w:history="1">
            <w:r w:rsidRPr="004F56BF">
              <w:rPr>
                <w:rStyle w:val="Hyperlink"/>
                <w:noProof/>
              </w:rPr>
              <w:t>Strategic focus areas</w:t>
            </w:r>
            <w:r>
              <w:rPr>
                <w:noProof/>
                <w:webHidden/>
              </w:rPr>
              <w:tab/>
            </w:r>
            <w:r>
              <w:rPr>
                <w:noProof/>
                <w:webHidden/>
              </w:rPr>
              <w:fldChar w:fldCharType="begin"/>
            </w:r>
            <w:r>
              <w:rPr>
                <w:noProof/>
                <w:webHidden/>
              </w:rPr>
              <w:instrText xml:space="preserve"> PAGEREF _Toc71633299 \h </w:instrText>
            </w:r>
            <w:r>
              <w:rPr>
                <w:noProof/>
                <w:webHidden/>
              </w:rPr>
            </w:r>
            <w:r>
              <w:rPr>
                <w:noProof/>
                <w:webHidden/>
              </w:rPr>
              <w:fldChar w:fldCharType="separate"/>
            </w:r>
            <w:r>
              <w:rPr>
                <w:noProof/>
                <w:webHidden/>
              </w:rPr>
              <w:t>8</w:t>
            </w:r>
            <w:r>
              <w:rPr>
                <w:noProof/>
                <w:webHidden/>
              </w:rPr>
              <w:fldChar w:fldCharType="end"/>
            </w:r>
          </w:hyperlink>
        </w:p>
        <w:p w14:paraId="7FCF01C1" w14:textId="746CFD42" w:rsidR="003743C0" w:rsidRDefault="003743C0">
          <w:pPr>
            <w:pStyle w:val="TOC2"/>
            <w:tabs>
              <w:tab w:val="right" w:leader="dot" w:pos="9016"/>
            </w:tabs>
            <w:rPr>
              <w:rFonts w:asciiTheme="minorHAnsi" w:eastAsiaTheme="minorEastAsia" w:hAnsiTheme="minorHAnsi" w:cstheme="minorBidi"/>
              <w:noProof/>
              <w:lang w:eastAsia="en-AU"/>
            </w:rPr>
          </w:pPr>
          <w:hyperlink w:anchor="_Toc71633300" w:history="1">
            <w:r w:rsidRPr="004F56BF">
              <w:rPr>
                <w:rStyle w:val="Hyperlink"/>
                <w:noProof/>
              </w:rPr>
              <w:t>What is Council currently doing?</w:t>
            </w:r>
            <w:r>
              <w:rPr>
                <w:noProof/>
                <w:webHidden/>
              </w:rPr>
              <w:tab/>
            </w:r>
            <w:r>
              <w:rPr>
                <w:noProof/>
                <w:webHidden/>
              </w:rPr>
              <w:fldChar w:fldCharType="begin"/>
            </w:r>
            <w:r>
              <w:rPr>
                <w:noProof/>
                <w:webHidden/>
              </w:rPr>
              <w:instrText xml:space="preserve"> PAGEREF _Toc71633300 \h </w:instrText>
            </w:r>
            <w:r>
              <w:rPr>
                <w:noProof/>
                <w:webHidden/>
              </w:rPr>
            </w:r>
            <w:r>
              <w:rPr>
                <w:noProof/>
                <w:webHidden/>
              </w:rPr>
              <w:fldChar w:fldCharType="separate"/>
            </w:r>
            <w:r>
              <w:rPr>
                <w:noProof/>
                <w:webHidden/>
              </w:rPr>
              <w:t>9</w:t>
            </w:r>
            <w:r>
              <w:rPr>
                <w:noProof/>
                <w:webHidden/>
              </w:rPr>
              <w:fldChar w:fldCharType="end"/>
            </w:r>
          </w:hyperlink>
        </w:p>
        <w:p w14:paraId="43833828" w14:textId="676B3DBD" w:rsidR="003743C0" w:rsidRDefault="003743C0">
          <w:pPr>
            <w:pStyle w:val="TOC2"/>
            <w:tabs>
              <w:tab w:val="right" w:leader="dot" w:pos="9016"/>
            </w:tabs>
            <w:rPr>
              <w:rFonts w:asciiTheme="minorHAnsi" w:eastAsiaTheme="minorEastAsia" w:hAnsiTheme="minorHAnsi" w:cstheme="minorBidi"/>
              <w:noProof/>
              <w:lang w:eastAsia="en-AU"/>
            </w:rPr>
          </w:pPr>
          <w:hyperlink w:anchor="_Toc71633301" w:history="1">
            <w:r w:rsidRPr="004F56BF">
              <w:rPr>
                <w:rStyle w:val="Hyperlink"/>
                <w:noProof/>
              </w:rPr>
              <w:t>Implementation of the Healthy Ageing Strategy</w:t>
            </w:r>
            <w:r>
              <w:rPr>
                <w:noProof/>
                <w:webHidden/>
              </w:rPr>
              <w:tab/>
            </w:r>
            <w:r>
              <w:rPr>
                <w:noProof/>
                <w:webHidden/>
              </w:rPr>
              <w:fldChar w:fldCharType="begin"/>
            </w:r>
            <w:r>
              <w:rPr>
                <w:noProof/>
                <w:webHidden/>
              </w:rPr>
              <w:instrText xml:space="preserve"> PAGEREF _Toc71633301 \h </w:instrText>
            </w:r>
            <w:r>
              <w:rPr>
                <w:noProof/>
                <w:webHidden/>
              </w:rPr>
            </w:r>
            <w:r>
              <w:rPr>
                <w:noProof/>
                <w:webHidden/>
              </w:rPr>
              <w:fldChar w:fldCharType="separate"/>
            </w:r>
            <w:r>
              <w:rPr>
                <w:noProof/>
                <w:webHidden/>
              </w:rPr>
              <w:t>11</w:t>
            </w:r>
            <w:r>
              <w:rPr>
                <w:noProof/>
                <w:webHidden/>
              </w:rPr>
              <w:fldChar w:fldCharType="end"/>
            </w:r>
          </w:hyperlink>
        </w:p>
        <w:p w14:paraId="1C0E37DE" w14:textId="649E38FE" w:rsidR="003743C0" w:rsidRDefault="003743C0">
          <w:pPr>
            <w:pStyle w:val="TOC1"/>
            <w:tabs>
              <w:tab w:val="right" w:leader="dot" w:pos="9016"/>
            </w:tabs>
            <w:rPr>
              <w:rFonts w:asciiTheme="minorHAnsi" w:eastAsiaTheme="minorEastAsia" w:hAnsiTheme="minorHAnsi" w:cstheme="minorBidi"/>
              <w:noProof/>
              <w:lang w:eastAsia="en-AU"/>
            </w:rPr>
          </w:pPr>
          <w:hyperlink w:anchor="_Toc71633302" w:history="1">
            <w:r w:rsidRPr="004F56BF">
              <w:rPr>
                <w:rStyle w:val="Hyperlink"/>
                <w:noProof/>
              </w:rPr>
              <w:t>Appendix 1</w:t>
            </w:r>
            <w:r>
              <w:rPr>
                <w:noProof/>
                <w:webHidden/>
              </w:rPr>
              <w:tab/>
            </w:r>
            <w:r>
              <w:rPr>
                <w:noProof/>
                <w:webHidden/>
              </w:rPr>
              <w:fldChar w:fldCharType="begin"/>
            </w:r>
            <w:r>
              <w:rPr>
                <w:noProof/>
                <w:webHidden/>
              </w:rPr>
              <w:instrText xml:space="preserve"> PAGEREF _Toc71633302 \h </w:instrText>
            </w:r>
            <w:r>
              <w:rPr>
                <w:noProof/>
                <w:webHidden/>
              </w:rPr>
            </w:r>
            <w:r>
              <w:rPr>
                <w:noProof/>
                <w:webHidden/>
              </w:rPr>
              <w:fldChar w:fldCharType="separate"/>
            </w:r>
            <w:r>
              <w:rPr>
                <w:noProof/>
                <w:webHidden/>
              </w:rPr>
              <w:t>12</w:t>
            </w:r>
            <w:r>
              <w:rPr>
                <w:noProof/>
                <w:webHidden/>
              </w:rPr>
              <w:fldChar w:fldCharType="end"/>
            </w:r>
          </w:hyperlink>
        </w:p>
        <w:p w14:paraId="6881F140" w14:textId="4239F611" w:rsidR="003743C0" w:rsidRDefault="003743C0">
          <w:pPr>
            <w:pStyle w:val="TOC2"/>
            <w:tabs>
              <w:tab w:val="right" w:leader="dot" w:pos="9016"/>
            </w:tabs>
            <w:rPr>
              <w:rFonts w:asciiTheme="minorHAnsi" w:eastAsiaTheme="minorEastAsia" w:hAnsiTheme="minorHAnsi" w:cstheme="minorBidi"/>
              <w:noProof/>
              <w:lang w:eastAsia="en-AU"/>
            </w:rPr>
          </w:pPr>
          <w:hyperlink w:anchor="_Toc71633303" w:history="1">
            <w:r w:rsidRPr="004F56BF">
              <w:rPr>
                <w:rStyle w:val="Hyperlink"/>
                <w:noProof/>
              </w:rPr>
              <w:t>Inner West Council’s Integrated Planning and Reporting Framework</w:t>
            </w:r>
            <w:r>
              <w:rPr>
                <w:noProof/>
                <w:webHidden/>
              </w:rPr>
              <w:tab/>
            </w:r>
            <w:r>
              <w:rPr>
                <w:noProof/>
                <w:webHidden/>
              </w:rPr>
              <w:fldChar w:fldCharType="begin"/>
            </w:r>
            <w:r>
              <w:rPr>
                <w:noProof/>
                <w:webHidden/>
              </w:rPr>
              <w:instrText xml:space="preserve"> PAGEREF _Toc71633303 \h </w:instrText>
            </w:r>
            <w:r>
              <w:rPr>
                <w:noProof/>
                <w:webHidden/>
              </w:rPr>
            </w:r>
            <w:r>
              <w:rPr>
                <w:noProof/>
                <w:webHidden/>
              </w:rPr>
              <w:fldChar w:fldCharType="separate"/>
            </w:r>
            <w:r>
              <w:rPr>
                <w:noProof/>
                <w:webHidden/>
              </w:rPr>
              <w:t>12</w:t>
            </w:r>
            <w:r>
              <w:rPr>
                <w:noProof/>
                <w:webHidden/>
              </w:rPr>
              <w:fldChar w:fldCharType="end"/>
            </w:r>
          </w:hyperlink>
        </w:p>
        <w:p w14:paraId="0D2EB3F7" w14:textId="1231DF76" w:rsidR="00C04CDC" w:rsidRPr="00B276B5" w:rsidRDefault="00C04CDC">
          <w:r w:rsidRPr="00B276B5">
            <w:rPr>
              <w:b/>
              <w:bCs/>
              <w:noProof/>
            </w:rPr>
            <w:fldChar w:fldCharType="end"/>
          </w:r>
        </w:p>
      </w:sdtContent>
    </w:sdt>
    <w:p w14:paraId="1C746FB9" w14:textId="322D65F8" w:rsidR="00C04CDC" w:rsidRPr="00B276B5" w:rsidRDefault="00C04CDC">
      <w:pPr>
        <w:rPr>
          <w:rFonts w:eastAsiaTheme="majorEastAsia"/>
          <w:b/>
          <w:bCs/>
        </w:rPr>
      </w:pPr>
      <w:r w:rsidRPr="00B276B5">
        <w:br w:type="page"/>
      </w:r>
    </w:p>
    <w:p w14:paraId="2113F517" w14:textId="2CBE0BC2" w:rsidR="0024449C" w:rsidRPr="0024449C" w:rsidRDefault="0024449C" w:rsidP="0024449C">
      <w:pPr>
        <w:pStyle w:val="Heading1"/>
        <w:rPr>
          <w:rFonts w:ascii="Arial" w:hAnsi="Arial" w:cs="Arial"/>
          <w:color w:val="auto"/>
          <w:sz w:val="22"/>
          <w:szCs w:val="22"/>
        </w:rPr>
      </w:pPr>
      <w:bookmarkStart w:id="1" w:name="_Toc71633290"/>
      <w:r w:rsidRPr="0024449C">
        <w:rPr>
          <w:rFonts w:ascii="Arial" w:hAnsi="Arial" w:cs="Arial"/>
          <w:color w:val="auto"/>
          <w:sz w:val="22"/>
          <w:szCs w:val="22"/>
        </w:rPr>
        <w:t>Aboriginal and Torres Strait Islander Statement</w:t>
      </w:r>
      <w:bookmarkStart w:id="2" w:name="_TOC_250012"/>
      <w:bookmarkEnd w:id="1"/>
    </w:p>
    <w:p w14:paraId="623A0883" w14:textId="77777777" w:rsidR="0024449C" w:rsidRPr="0024449C" w:rsidRDefault="0024449C" w:rsidP="0024449C"/>
    <w:bookmarkEnd w:id="2"/>
    <w:p w14:paraId="1B13960B" w14:textId="637D8EF7" w:rsidR="0024449C" w:rsidRPr="0024449C" w:rsidRDefault="0024449C" w:rsidP="00BF2F5B">
      <w:r w:rsidRPr="0024449C">
        <w:t xml:space="preserve">Inner West Council acknowledges the </w:t>
      </w:r>
      <w:proofErr w:type="spellStart"/>
      <w:r w:rsidRPr="0024449C">
        <w:t>Gadigal</w:t>
      </w:r>
      <w:proofErr w:type="spellEnd"/>
      <w:r w:rsidRPr="0024449C">
        <w:t xml:space="preserve"> and </w:t>
      </w:r>
      <w:proofErr w:type="spellStart"/>
      <w:r w:rsidRPr="0024449C">
        <w:t>Wangal</w:t>
      </w:r>
      <w:proofErr w:type="spellEnd"/>
      <w:r w:rsidRPr="0024449C">
        <w:t xml:space="preserve"> peoples of the Eora Nation, who are the traditional custodians of the lands in which the Inner West local government area is situated.</w:t>
      </w:r>
    </w:p>
    <w:p w14:paraId="31E3B78E" w14:textId="62E2974F" w:rsidR="0024449C" w:rsidRPr="0024449C" w:rsidRDefault="0024449C" w:rsidP="0024449C">
      <w:r w:rsidRPr="0024449C">
        <w:t>We celebrate the survival of Aboriginal and Torres Strait Islander cultures, heritage, beliefs and their relationship with the land and water. We acknowledge the continuing importance of this relationship to Aboriginal and Torres Strait Islander peoples living today, despite the devastating impacts of European invasion. We express our sorrow for past injustices and support the rights of Aboriginal and Torres Strait Islanders to self-determination.</w:t>
      </w:r>
    </w:p>
    <w:p w14:paraId="72974B3D" w14:textId="15AE3AB1" w:rsidR="0024449C" w:rsidRPr="0024449C" w:rsidRDefault="0024449C" w:rsidP="0024449C">
      <w:r w:rsidRPr="0024449C">
        <w:t>Inner West Council understands our responsibilities and role in working with the Aboriginal community to promote cultural heritage and history, address areas of disadvantage, and protect and preserve the environment as well as sites of significance to Aboriginal peoples. In doing so, we acknowledge that Aboriginal cultures continue to strengthen and enrich our community.</w:t>
      </w:r>
    </w:p>
    <w:p w14:paraId="0CB1011D" w14:textId="2527D5AF" w:rsidR="00F246F9" w:rsidRPr="00B276B5" w:rsidRDefault="00F246F9" w:rsidP="00F246F9">
      <w:pPr>
        <w:pStyle w:val="Heading1"/>
        <w:rPr>
          <w:rFonts w:ascii="Arial" w:hAnsi="Arial" w:cs="Arial"/>
          <w:color w:val="auto"/>
          <w:sz w:val="22"/>
          <w:szCs w:val="22"/>
        </w:rPr>
      </w:pPr>
      <w:bookmarkStart w:id="3" w:name="_Toc71633291"/>
      <w:r w:rsidRPr="00B276B5">
        <w:rPr>
          <w:rFonts w:ascii="Arial" w:hAnsi="Arial" w:cs="Arial"/>
          <w:color w:val="auto"/>
          <w:sz w:val="22"/>
          <w:szCs w:val="22"/>
        </w:rPr>
        <w:t>Executive Summary</w:t>
      </w:r>
      <w:bookmarkEnd w:id="3"/>
    </w:p>
    <w:p w14:paraId="709F58B1" w14:textId="77777777" w:rsidR="00F246F9" w:rsidRPr="00B276B5" w:rsidRDefault="00F246F9" w:rsidP="00F246F9"/>
    <w:p w14:paraId="7AD4DF7A" w14:textId="1256CD7D" w:rsidR="00C71A02" w:rsidRDefault="00BC2300" w:rsidP="00816721">
      <w:pPr>
        <w:jc w:val="both"/>
      </w:pPr>
      <w:r>
        <w:t>T</w:t>
      </w:r>
      <w:r w:rsidR="00191D7C">
        <w:t>he Inner West’s</w:t>
      </w:r>
      <w:r w:rsidR="00C71A02">
        <w:t xml:space="preserve"> population</w:t>
      </w:r>
      <w:r w:rsidR="00191D7C">
        <w:t xml:space="preserve"> is ageing</w:t>
      </w:r>
      <w:r w:rsidR="00C71A02">
        <w:t xml:space="preserve">. </w:t>
      </w:r>
      <w:r w:rsidR="00191D7C">
        <w:t>Today, among our</w:t>
      </w:r>
      <w:r w:rsidR="009E13AB">
        <w:t xml:space="preserve"> own</w:t>
      </w:r>
      <w:r w:rsidR="00C71A02">
        <w:t xml:space="preserve"> community </w:t>
      </w:r>
      <w:r w:rsidR="00191D7C">
        <w:t xml:space="preserve">of </w:t>
      </w:r>
      <w:r w:rsidR="00C71A02">
        <w:t xml:space="preserve">more than 200,000, </w:t>
      </w:r>
      <w:r w:rsidR="00191D7C">
        <w:t>almost 55,000</w:t>
      </w:r>
      <w:r w:rsidR="00D13FAB">
        <w:t xml:space="preserve"> people – or about one in four –</w:t>
      </w:r>
      <w:r w:rsidR="00C71A02">
        <w:t xml:space="preserve"> are aged 50 years or older. </w:t>
      </w:r>
      <w:r w:rsidR="00D13FAB">
        <w:t>Th</w:t>
      </w:r>
      <w:r w:rsidR="006851B2">
        <w:t>is</w:t>
      </w:r>
      <w:r w:rsidR="00D13FAB">
        <w:t xml:space="preserve"> trend is projected to continue</w:t>
      </w:r>
      <w:r w:rsidR="006851B2">
        <w:t xml:space="preserve"> in the coming years,</w:t>
      </w:r>
      <w:r w:rsidR="00D13FAB">
        <w:t xml:space="preserve"> and by</w:t>
      </w:r>
      <w:r w:rsidR="00C71A02">
        <w:t xml:space="preserve"> 2026</w:t>
      </w:r>
      <w:r w:rsidR="00191D7C">
        <w:t xml:space="preserve"> more than </w:t>
      </w:r>
      <w:r w:rsidR="00C71A02">
        <w:t>3,4</w:t>
      </w:r>
      <w:r w:rsidR="00191D7C">
        <w:t>00</w:t>
      </w:r>
      <w:r w:rsidR="00C71A02">
        <w:t xml:space="preserve"> people are</w:t>
      </w:r>
      <w:r w:rsidR="00D13FAB">
        <w:t xml:space="preserve"> also </w:t>
      </w:r>
      <w:r w:rsidR="00C71A02">
        <w:t>expected to be living with dementia</w:t>
      </w:r>
      <w:r w:rsidR="009E13AB">
        <w:t xml:space="preserve"> in the Inner West</w:t>
      </w:r>
      <w:r w:rsidR="00C71A02">
        <w:t>.</w:t>
      </w:r>
    </w:p>
    <w:p w14:paraId="08622EB5" w14:textId="14F07BE1" w:rsidR="006851B2" w:rsidRDefault="009E13AB" w:rsidP="00816721">
      <w:pPr>
        <w:jc w:val="both"/>
      </w:pPr>
      <w:r>
        <w:t>Our ageing population</w:t>
      </w:r>
      <w:r w:rsidR="00D13FAB">
        <w:t xml:space="preserve"> presents </w:t>
      </w:r>
      <w:r>
        <w:t xml:space="preserve">both </w:t>
      </w:r>
      <w:r w:rsidR="006851B2">
        <w:t xml:space="preserve">a </w:t>
      </w:r>
      <w:r w:rsidR="00D13FAB">
        <w:t>challenge</w:t>
      </w:r>
      <w:r>
        <w:t xml:space="preserve"> and an opportunity</w:t>
      </w:r>
      <w:r w:rsidR="00D13FAB">
        <w:t xml:space="preserve"> for t</w:t>
      </w:r>
      <w:r w:rsidR="00C71A02">
        <w:t>h</w:t>
      </w:r>
      <w:r w:rsidR="00D13FAB">
        <w:t xml:space="preserve">e Inner West Council to support </w:t>
      </w:r>
      <w:r w:rsidR="006851B2">
        <w:t>its</w:t>
      </w:r>
      <w:r w:rsidR="00D13FAB">
        <w:t xml:space="preserve"> communit</w:t>
      </w:r>
      <w:r w:rsidR="006851B2">
        <w:t>ies</w:t>
      </w:r>
      <w:r w:rsidR="00D13FAB">
        <w:t xml:space="preserve"> to continue to l</w:t>
      </w:r>
      <w:r>
        <w:t>ead</w:t>
      </w:r>
      <w:r w:rsidR="00D13FAB">
        <w:t xml:space="preserve"> full and rewarding lives as they age. </w:t>
      </w:r>
      <w:r w:rsidR="006851B2">
        <w:t>Through extensive community consultation</w:t>
      </w:r>
      <w:r w:rsidR="00733632">
        <w:t>, expert advice</w:t>
      </w:r>
      <w:r w:rsidR="006851B2">
        <w:t xml:space="preserve"> and research into </w:t>
      </w:r>
      <w:r w:rsidR="000D3EEF">
        <w:t xml:space="preserve">national and international </w:t>
      </w:r>
      <w:r w:rsidR="006851B2">
        <w:t>best practice, Council has developed t</w:t>
      </w:r>
      <w:r w:rsidR="00D13FAB">
        <w:t>he</w:t>
      </w:r>
      <w:r w:rsidR="00C71A02">
        <w:t xml:space="preserve"> </w:t>
      </w:r>
      <w:r w:rsidR="00C71A02" w:rsidRPr="00E51FC4">
        <w:rPr>
          <w:i/>
          <w:iCs/>
        </w:rPr>
        <w:t>Health Ageing Strategy</w:t>
      </w:r>
      <w:r w:rsidR="00C71A02">
        <w:t xml:space="preserve"> </w:t>
      </w:r>
      <w:r w:rsidR="00C71A02" w:rsidRPr="00E51FC4">
        <w:rPr>
          <w:i/>
          <w:iCs/>
        </w:rPr>
        <w:t>and Action Plan</w:t>
      </w:r>
      <w:r w:rsidR="006851B2">
        <w:rPr>
          <w:i/>
          <w:iCs/>
        </w:rPr>
        <w:t xml:space="preserve"> 2021-2025</w:t>
      </w:r>
      <w:r w:rsidR="00C71A02">
        <w:t xml:space="preserve"> </w:t>
      </w:r>
      <w:r w:rsidR="006851B2">
        <w:t xml:space="preserve">to </w:t>
      </w:r>
      <w:r w:rsidR="00C71A02">
        <w:t xml:space="preserve">guide </w:t>
      </w:r>
      <w:r w:rsidR="006851B2">
        <w:t xml:space="preserve">its policy and program </w:t>
      </w:r>
      <w:r w:rsidR="00C71A02">
        <w:t>support</w:t>
      </w:r>
      <w:r>
        <w:t xml:space="preserve"> for older members of the community</w:t>
      </w:r>
      <w:r w:rsidR="006851B2">
        <w:t xml:space="preserve">. </w:t>
      </w:r>
    </w:p>
    <w:p w14:paraId="157B3F6D" w14:textId="3ED15372" w:rsidR="00C71A02" w:rsidRDefault="006851B2" w:rsidP="006851B2">
      <w:r>
        <w:t xml:space="preserve">The </w:t>
      </w:r>
      <w:r w:rsidR="009E13AB" w:rsidRPr="00C04F82">
        <w:rPr>
          <w:i/>
          <w:iCs/>
        </w:rPr>
        <w:t>Health</w:t>
      </w:r>
      <w:r w:rsidR="000D3EEF">
        <w:rPr>
          <w:i/>
          <w:iCs/>
        </w:rPr>
        <w:t>y</w:t>
      </w:r>
      <w:r w:rsidR="009E13AB" w:rsidRPr="00C04F82">
        <w:rPr>
          <w:i/>
          <w:iCs/>
        </w:rPr>
        <w:t xml:space="preserve"> Ageing Strategy</w:t>
      </w:r>
      <w:r w:rsidR="00C71A02">
        <w:t xml:space="preserve"> focus</w:t>
      </w:r>
      <w:r>
        <w:t>es</w:t>
      </w:r>
      <w:r w:rsidR="00C71A02">
        <w:t xml:space="preserve"> </w:t>
      </w:r>
      <w:r>
        <w:t>o</w:t>
      </w:r>
      <w:r w:rsidR="00C71A02">
        <w:t>n</w:t>
      </w:r>
      <w:r w:rsidR="009E13AB">
        <w:t xml:space="preserve"> delivering across</w:t>
      </w:r>
      <w:r>
        <w:t xml:space="preserve"> </w:t>
      </w:r>
      <w:r w:rsidR="00C71A02">
        <w:t xml:space="preserve">six </w:t>
      </w:r>
      <w:r w:rsidR="009E13AB">
        <w:t>priority</w:t>
      </w:r>
      <w:r>
        <w:t xml:space="preserve"> </w:t>
      </w:r>
      <w:r w:rsidR="00C71A02">
        <w:t>areas</w:t>
      </w:r>
      <w:r w:rsidR="009E13AB">
        <w:t xml:space="preserve"> over the next five years</w:t>
      </w:r>
      <w:r w:rsidR="00C71A02">
        <w:t>:</w:t>
      </w:r>
    </w:p>
    <w:p w14:paraId="31EE4CF2" w14:textId="7F7B20F7" w:rsidR="00B00B45" w:rsidRDefault="006851B2" w:rsidP="00B52910">
      <w:pPr>
        <w:pStyle w:val="ListParagraph"/>
        <w:numPr>
          <w:ilvl w:val="0"/>
          <w:numId w:val="9"/>
        </w:numPr>
      </w:pPr>
      <w:r>
        <w:t>s</w:t>
      </w:r>
      <w:r w:rsidR="00B00B45">
        <w:t>taying active</w:t>
      </w:r>
    </w:p>
    <w:p w14:paraId="1E0AC00D" w14:textId="31AC9ACB" w:rsidR="00B00B45" w:rsidRDefault="006851B2" w:rsidP="00B52910">
      <w:pPr>
        <w:pStyle w:val="ListParagraph"/>
        <w:numPr>
          <w:ilvl w:val="0"/>
          <w:numId w:val="9"/>
        </w:numPr>
      </w:pPr>
      <w:r>
        <w:t>g</w:t>
      </w:r>
      <w:r w:rsidR="00B00B45">
        <w:t>etting around and staying connected</w:t>
      </w:r>
    </w:p>
    <w:p w14:paraId="1D7667ED" w14:textId="45BB2959" w:rsidR="00B00B45" w:rsidRDefault="006851B2" w:rsidP="00B52910">
      <w:pPr>
        <w:pStyle w:val="ListParagraph"/>
        <w:numPr>
          <w:ilvl w:val="0"/>
          <w:numId w:val="9"/>
        </w:numPr>
      </w:pPr>
      <w:r>
        <w:t>h</w:t>
      </w:r>
      <w:r w:rsidR="00B00B45">
        <w:t xml:space="preserve">ousing, </w:t>
      </w:r>
      <w:proofErr w:type="gramStart"/>
      <w:r w:rsidR="00B00B45">
        <w:t>employment</w:t>
      </w:r>
      <w:proofErr w:type="gramEnd"/>
      <w:r w:rsidR="00B00B45">
        <w:t xml:space="preserve"> and financial security</w:t>
      </w:r>
    </w:p>
    <w:p w14:paraId="627DA139" w14:textId="382E1FBD" w:rsidR="00B00B45" w:rsidRDefault="006851B2" w:rsidP="00B52910">
      <w:pPr>
        <w:pStyle w:val="ListParagraph"/>
        <w:numPr>
          <w:ilvl w:val="0"/>
          <w:numId w:val="9"/>
        </w:numPr>
      </w:pPr>
      <w:r>
        <w:t>s</w:t>
      </w:r>
      <w:r w:rsidR="00B00B45">
        <w:t>afety</w:t>
      </w:r>
    </w:p>
    <w:p w14:paraId="089EF568" w14:textId="5C84586B" w:rsidR="00B00B45" w:rsidRDefault="006851B2" w:rsidP="00B52910">
      <w:pPr>
        <w:pStyle w:val="ListParagraph"/>
        <w:numPr>
          <w:ilvl w:val="0"/>
          <w:numId w:val="9"/>
        </w:numPr>
      </w:pPr>
      <w:r>
        <w:t>l</w:t>
      </w:r>
      <w:r w:rsidR="00B00B45">
        <w:t>earning and sharing knowledge</w:t>
      </w:r>
    </w:p>
    <w:p w14:paraId="15FB54C8" w14:textId="5C40FB01" w:rsidR="009E13AB" w:rsidRDefault="006851B2" w:rsidP="00B52910">
      <w:pPr>
        <w:pStyle w:val="ListParagraph"/>
        <w:numPr>
          <w:ilvl w:val="0"/>
          <w:numId w:val="9"/>
        </w:numPr>
      </w:pPr>
      <w:r>
        <w:t>h</w:t>
      </w:r>
      <w:r w:rsidR="00B00B45">
        <w:t>ealth and diversity</w:t>
      </w:r>
      <w:r w:rsidR="00C71A02">
        <w:t>.</w:t>
      </w:r>
    </w:p>
    <w:p w14:paraId="46982744" w14:textId="5DA2CED4" w:rsidR="00F246F9" w:rsidRPr="00B276B5" w:rsidRDefault="00F246F9" w:rsidP="00E51FC4">
      <w:r w:rsidRPr="00B276B5">
        <w:br w:type="page"/>
      </w:r>
    </w:p>
    <w:p w14:paraId="46BC5CB1" w14:textId="7AF09C31" w:rsidR="00833E1E" w:rsidRPr="00833E1E" w:rsidRDefault="00833E1E" w:rsidP="00F246F9">
      <w:pPr>
        <w:pStyle w:val="Heading1"/>
        <w:rPr>
          <w:rFonts w:ascii="Arial" w:hAnsi="Arial" w:cs="Arial"/>
          <w:color w:val="auto"/>
          <w:sz w:val="22"/>
          <w:szCs w:val="22"/>
        </w:rPr>
      </w:pPr>
      <w:bookmarkStart w:id="4" w:name="_Toc71633292"/>
      <w:r w:rsidRPr="00833E1E">
        <w:rPr>
          <w:rFonts w:ascii="Arial" w:hAnsi="Arial" w:cs="Arial"/>
          <w:color w:val="auto"/>
          <w:sz w:val="22"/>
          <w:szCs w:val="22"/>
        </w:rPr>
        <w:t>Introduction</w:t>
      </w:r>
      <w:bookmarkEnd w:id="4"/>
    </w:p>
    <w:p w14:paraId="19A9C801" w14:textId="77777777" w:rsidR="006851B2" w:rsidRDefault="006851B2" w:rsidP="00833E1E"/>
    <w:p w14:paraId="48A8C6B7" w14:textId="132DA439" w:rsidR="00E07AA3" w:rsidRDefault="00E07AA3" w:rsidP="006C33B1">
      <w:pPr>
        <w:jc w:val="both"/>
      </w:pPr>
      <w:r>
        <w:t xml:space="preserve">It is well established that social connection is </w:t>
      </w:r>
      <w:r w:rsidR="000D3EEF">
        <w:t>essential</w:t>
      </w:r>
      <w:r>
        <w:t xml:space="preserve"> </w:t>
      </w:r>
      <w:r w:rsidR="000D3EEF">
        <w:t>for</w:t>
      </w:r>
      <w:r>
        <w:t xml:space="preserve"> good physical and mental health</w:t>
      </w:r>
      <w:r w:rsidR="00407EBD">
        <w:t xml:space="preserve"> across all life stages</w:t>
      </w:r>
      <w:r>
        <w:t xml:space="preserve">. </w:t>
      </w:r>
      <w:r w:rsidR="00833E1E" w:rsidRPr="00833E1E">
        <w:t>As people age</w:t>
      </w:r>
      <w:r>
        <w:t>, connection with family, friends and the broader community grows in</w:t>
      </w:r>
      <w:r w:rsidR="00833E1E" w:rsidRPr="00833E1E">
        <w:t xml:space="preserve"> importan</w:t>
      </w:r>
      <w:r>
        <w:t>ce</w:t>
      </w:r>
      <w:r w:rsidR="00833E1E" w:rsidRPr="00833E1E">
        <w:t xml:space="preserve"> </w:t>
      </w:r>
      <w:r>
        <w:t xml:space="preserve">as the frequency and nature of people’s social contact </w:t>
      </w:r>
      <w:r w:rsidR="000D110F">
        <w:t>can be</w:t>
      </w:r>
      <w:r>
        <w:t xml:space="preserve"> reduced through </w:t>
      </w:r>
      <w:r w:rsidR="00833E1E" w:rsidRPr="00833E1E">
        <w:t>retirement</w:t>
      </w:r>
      <w:r w:rsidR="00407EBD">
        <w:t>,</w:t>
      </w:r>
      <w:r>
        <w:t xml:space="preserve"> for example</w:t>
      </w:r>
      <w:r w:rsidR="00407EBD">
        <w:t>,</w:t>
      </w:r>
      <w:r>
        <w:t xml:space="preserve"> or </w:t>
      </w:r>
      <w:r w:rsidR="00F568E3">
        <w:t>changes in living circumstances</w:t>
      </w:r>
      <w:r>
        <w:t xml:space="preserve">. </w:t>
      </w:r>
      <w:r w:rsidR="00833E1E" w:rsidRPr="00833E1E">
        <w:t xml:space="preserve"> </w:t>
      </w:r>
    </w:p>
    <w:p w14:paraId="600C221F" w14:textId="75EA969D" w:rsidR="00833E1E" w:rsidRDefault="000D110F" w:rsidP="006C33B1">
      <w:pPr>
        <w:jc w:val="both"/>
      </w:pPr>
      <w:r>
        <w:t>Research</w:t>
      </w:r>
      <w:r w:rsidR="00407EBD">
        <w:t xml:space="preserve"> </w:t>
      </w:r>
      <w:r w:rsidR="006C33B1">
        <w:t>demonstrate</w:t>
      </w:r>
      <w:r>
        <w:t xml:space="preserve">s that continuing to participate in the community as we </w:t>
      </w:r>
      <w:r w:rsidR="00407EBD">
        <w:t>grow older</w:t>
      </w:r>
      <w:r>
        <w:t xml:space="preserve"> is an important </w:t>
      </w:r>
      <w:r w:rsidR="00407EBD">
        <w:t xml:space="preserve">part of health ageing. </w:t>
      </w:r>
      <w:r w:rsidR="000D3EEF">
        <w:t>P</w:t>
      </w:r>
      <w:r w:rsidR="00407EBD">
        <w:t>articipati</w:t>
      </w:r>
      <w:r w:rsidR="00A87C8D">
        <w:t>on</w:t>
      </w:r>
      <w:r w:rsidR="00407EBD">
        <w:t xml:space="preserve"> in social</w:t>
      </w:r>
      <w:r w:rsidR="000D3EEF">
        <w:t xml:space="preserve"> and</w:t>
      </w:r>
      <w:r w:rsidR="00407EBD">
        <w:t xml:space="preserve"> cultural activities</w:t>
      </w:r>
      <w:r w:rsidR="000D3EEF">
        <w:t xml:space="preserve"> </w:t>
      </w:r>
      <w:r w:rsidR="00407EBD">
        <w:t xml:space="preserve">creates social inclusion </w:t>
      </w:r>
      <w:r w:rsidR="000D3EEF">
        <w:t>and promotes greater health and wellbeing</w:t>
      </w:r>
      <w:r w:rsidR="006C33B1">
        <w:t xml:space="preserve"> (Haslam, 2019)</w:t>
      </w:r>
      <w:r w:rsidR="00407EBD">
        <w:t xml:space="preserve">. </w:t>
      </w:r>
    </w:p>
    <w:p w14:paraId="082CA0ED" w14:textId="7F07B564" w:rsidR="000D3EEF" w:rsidRPr="00833E1E" w:rsidRDefault="000D3EEF" w:rsidP="006C33B1">
      <w:pPr>
        <w:jc w:val="both"/>
      </w:pPr>
      <w:r>
        <w:t xml:space="preserve">The </w:t>
      </w:r>
      <w:r w:rsidRPr="00C04F82">
        <w:rPr>
          <w:i/>
          <w:iCs/>
        </w:rPr>
        <w:t>Health</w:t>
      </w:r>
      <w:r>
        <w:rPr>
          <w:i/>
          <w:iCs/>
        </w:rPr>
        <w:t>y</w:t>
      </w:r>
      <w:r w:rsidRPr="00C04F82">
        <w:rPr>
          <w:i/>
          <w:iCs/>
        </w:rPr>
        <w:t xml:space="preserve"> Ageing Strategy</w:t>
      </w:r>
      <w:r>
        <w:rPr>
          <w:i/>
          <w:iCs/>
        </w:rPr>
        <w:t xml:space="preserve"> 2021-2025</w:t>
      </w:r>
      <w:r>
        <w:t xml:space="preserve"> builds on</w:t>
      </w:r>
      <w:r w:rsidRPr="00833E1E">
        <w:t xml:space="preserve"> the former Leichhardt Council </w:t>
      </w:r>
      <w:r w:rsidRPr="00C04F82">
        <w:rPr>
          <w:i/>
          <w:iCs/>
        </w:rPr>
        <w:t>Healthy Ageing Plan</w:t>
      </w:r>
      <w:r>
        <w:t xml:space="preserve">. The strategy recognises that the needs of older people in the Inner West are diverse. Following best practice, the strategy and supporting action plan has a particular focus on supporting older people to stay engaged in the community regardless of their circumstances.  </w:t>
      </w:r>
      <w:r>
        <w:rPr>
          <w:i/>
          <w:iCs/>
        </w:rPr>
        <w:t xml:space="preserve"> </w:t>
      </w:r>
    </w:p>
    <w:p w14:paraId="48B52BC9" w14:textId="77700F14" w:rsidR="00833E1E" w:rsidRPr="00833E1E" w:rsidRDefault="00833E1E" w:rsidP="00833E1E">
      <w:pPr>
        <w:pStyle w:val="Heading1"/>
        <w:rPr>
          <w:rFonts w:ascii="Arial" w:hAnsi="Arial" w:cs="Arial"/>
          <w:color w:val="auto"/>
          <w:sz w:val="22"/>
          <w:szCs w:val="22"/>
        </w:rPr>
      </w:pPr>
      <w:bookmarkStart w:id="5" w:name="_Toc71633293"/>
      <w:r w:rsidRPr="00833E1E">
        <w:rPr>
          <w:rFonts w:ascii="Arial" w:hAnsi="Arial" w:cs="Arial"/>
          <w:color w:val="auto"/>
          <w:sz w:val="22"/>
          <w:szCs w:val="22"/>
        </w:rPr>
        <w:t xml:space="preserve">What is </w:t>
      </w:r>
      <w:r w:rsidR="00407EBD">
        <w:rPr>
          <w:rFonts w:ascii="Arial" w:hAnsi="Arial" w:cs="Arial"/>
          <w:color w:val="auto"/>
          <w:sz w:val="22"/>
          <w:szCs w:val="22"/>
        </w:rPr>
        <w:t>h</w:t>
      </w:r>
      <w:r w:rsidRPr="00833E1E">
        <w:rPr>
          <w:rFonts w:ascii="Arial" w:hAnsi="Arial" w:cs="Arial"/>
          <w:color w:val="auto"/>
          <w:sz w:val="22"/>
          <w:szCs w:val="22"/>
        </w:rPr>
        <w:t xml:space="preserve">ealthy </w:t>
      </w:r>
      <w:r w:rsidR="00407EBD">
        <w:rPr>
          <w:rFonts w:ascii="Arial" w:hAnsi="Arial" w:cs="Arial"/>
          <w:color w:val="auto"/>
          <w:sz w:val="22"/>
          <w:szCs w:val="22"/>
        </w:rPr>
        <w:t>a</w:t>
      </w:r>
      <w:r w:rsidRPr="00833E1E">
        <w:rPr>
          <w:rFonts w:ascii="Arial" w:hAnsi="Arial" w:cs="Arial"/>
          <w:color w:val="auto"/>
          <w:sz w:val="22"/>
          <w:szCs w:val="22"/>
        </w:rPr>
        <w:t>geing?</w:t>
      </w:r>
      <w:bookmarkEnd w:id="5"/>
    </w:p>
    <w:p w14:paraId="0E580505" w14:textId="77777777" w:rsidR="00E07AA3" w:rsidRDefault="00E07AA3" w:rsidP="00833E1E"/>
    <w:p w14:paraId="703686EE" w14:textId="27F1C9D5" w:rsidR="00F568E3" w:rsidRPr="00A87C8D" w:rsidRDefault="00F568E3" w:rsidP="00E51FC4">
      <w:pPr>
        <w:pStyle w:val="NormalWeb"/>
        <w:spacing w:before="0" w:beforeAutospacing="0" w:after="0" w:afterAutospacing="0"/>
        <w:rPr>
          <w:rFonts w:ascii="Arial" w:hAnsi="Arial" w:cs="Arial"/>
          <w:color w:val="000000" w:themeColor="text1"/>
          <w:sz w:val="22"/>
          <w:szCs w:val="22"/>
        </w:rPr>
      </w:pPr>
      <w:r w:rsidRPr="00A87C8D">
        <w:rPr>
          <w:rFonts w:ascii="Arial" w:hAnsi="Arial" w:cs="Arial"/>
          <w:color w:val="000000" w:themeColor="text1"/>
          <w:sz w:val="22"/>
          <w:szCs w:val="22"/>
        </w:rPr>
        <w:t>According to the World Health Organization, healthy ageing is “the process of developing and maintaining the functional ability that enables wellbeing in older age”</w:t>
      </w:r>
      <w:r w:rsidR="003F727D" w:rsidRPr="00A87C8D">
        <w:rPr>
          <w:rFonts w:ascii="Arial" w:hAnsi="Arial" w:cs="Arial"/>
          <w:color w:val="000000" w:themeColor="text1"/>
          <w:sz w:val="22"/>
          <w:szCs w:val="22"/>
        </w:rPr>
        <w:t>.</w:t>
      </w:r>
      <w:r w:rsidRPr="00A87C8D">
        <w:rPr>
          <w:rFonts w:ascii="Arial" w:hAnsi="Arial" w:cs="Arial"/>
          <w:color w:val="000000" w:themeColor="text1"/>
          <w:sz w:val="22"/>
          <w:szCs w:val="22"/>
        </w:rPr>
        <w:t xml:space="preserve"> </w:t>
      </w:r>
      <w:r w:rsidR="003F727D" w:rsidRPr="00A87C8D">
        <w:rPr>
          <w:rFonts w:ascii="Arial" w:hAnsi="Arial" w:cs="Arial"/>
          <w:color w:val="000000" w:themeColor="text1"/>
          <w:sz w:val="22"/>
          <w:szCs w:val="22"/>
        </w:rPr>
        <w:t>This means that as people age it is important for them to develop and maintain</w:t>
      </w:r>
      <w:r w:rsidRPr="00A87C8D">
        <w:rPr>
          <w:rFonts w:ascii="Arial" w:hAnsi="Arial" w:cs="Arial"/>
          <w:color w:val="000000" w:themeColor="text1"/>
          <w:sz w:val="22"/>
          <w:szCs w:val="22"/>
        </w:rPr>
        <w:t xml:space="preserve"> the capabilities that </w:t>
      </w:r>
      <w:r w:rsidR="003F727D" w:rsidRPr="00A87C8D">
        <w:rPr>
          <w:rFonts w:ascii="Arial" w:hAnsi="Arial" w:cs="Arial"/>
          <w:color w:val="000000" w:themeColor="text1"/>
          <w:sz w:val="22"/>
          <w:szCs w:val="22"/>
        </w:rPr>
        <w:t>allow them</w:t>
      </w:r>
      <w:r w:rsidRPr="00A87C8D">
        <w:rPr>
          <w:rFonts w:ascii="Arial" w:hAnsi="Arial" w:cs="Arial"/>
          <w:color w:val="000000" w:themeColor="text1"/>
          <w:sz w:val="22"/>
          <w:szCs w:val="22"/>
        </w:rPr>
        <w:t xml:space="preserve"> to do what they value. This includes a person’s ability to:</w:t>
      </w:r>
      <w:r w:rsidR="003F727D" w:rsidRPr="00A87C8D">
        <w:rPr>
          <w:rFonts w:ascii="Arial" w:hAnsi="Arial" w:cs="Arial"/>
          <w:color w:val="000000" w:themeColor="text1"/>
          <w:sz w:val="22"/>
          <w:szCs w:val="22"/>
        </w:rPr>
        <w:br/>
      </w:r>
    </w:p>
    <w:p w14:paraId="76E34A33" w14:textId="1FA00396" w:rsidR="00F568E3" w:rsidRPr="00A87C8D" w:rsidRDefault="00F568E3" w:rsidP="00E51FC4">
      <w:pPr>
        <w:numPr>
          <w:ilvl w:val="0"/>
          <w:numId w:val="10"/>
        </w:numPr>
        <w:spacing w:after="0" w:line="240" w:lineRule="auto"/>
        <w:rPr>
          <w:rFonts w:eastAsia="Times New Roman"/>
          <w:color w:val="000000" w:themeColor="text1"/>
          <w:lang w:eastAsia="en-GB"/>
        </w:rPr>
      </w:pPr>
      <w:r w:rsidRPr="00A87C8D">
        <w:rPr>
          <w:rFonts w:eastAsia="Times New Roman"/>
          <w:color w:val="000000" w:themeColor="text1"/>
          <w:lang w:eastAsia="en-GB"/>
        </w:rPr>
        <w:t>meet their basic needs</w:t>
      </w:r>
    </w:p>
    <w:p w14:paraId="08A27C8B" w14:textId="79BEEC54" w:rsidR="00F568E3" w:rsidRPr="00A87C8D" w:rsidRDefault="00F568E3" w:rsidP="00E51FC4">
      <w:pPr>
        <w:numPr>
          <w:ilvl w:val="0"/>
          <w:numId w:val="10"/>
        </w:numPr>
        <w:spacing w:after="0" w:line="240" w:lineRule="auto"/>
        <w:rPr>
          <w:rFonts w:eastAsia="Times New Roman"/>
          <w:color w:val="000000" w:themeColor="text1"/>
          <w:lang w:eastAsia="en-GB"/>
        </w:rPr>
      </w:pPr>
      <w:r w:rsidRPr="00A87C8D">
        <w:rPr>
          <w:rFonts w:eastAsia="Times New Roman"/>
          <w:color w:val="000000" w:themeColor="text1"/>
          <w:lang w:eastAsia="en-GB"/>
        </w:rPr>
        <w:t xml:space="preserve">learn, </w:t>
      </w:r>
      <w:proofErr w:type="gramStart"/>
      <w:r w:rsidRPr="00A87C8D">
        <w:rPr>
          <w:rFonts w:eastAsia="Times New Roman"/>
          <w:color w:val="000000" w:themeColor="text1"/>
          <w:lang w:eastAsia="en-GB"/>
        </w:rPr>
        <w:t>grow</w:t>
      </w:r>
      <w:proofErr w:type="gramEnd"/>
      <w:r w:rsidRPr="00A87C8D">
        <w:rPr>
          <w:rFonts w:eastAsia="Times New Roman"/>
          <w:color w:val="000000" w:themeColor="text1"/>
          <w:lang w:eastAsia="en-GB"/>
        </w:rPr>
        <w:t xml:space="preserve"> and make decisions</w:t>
      </w:r>
    </w:p>
    <w:p w14:paraId="5C909744" w14:textId="23F11925" w:rsidR="00F568E3" w:rsidRPr="00A87C8D" w:rsidRDefault="00F568E3" w:rsidP="00E51FC4">
      <w:pPr>
        <w:numPr>
          <w:ilvl w:val="0"/>
          <w:numId w:val="10"/>
        </w:numPr>
        <w:spacing w:after="0" w:line="240" w:lineRule="auto"/>
        <w:rPr>
          <w:rFonts w:eastAsia="Times New Roman"/>
          <w:color w:val="000000" w:themeColor="text1"/>
          <w:lang w:eastAsia="en-GB"/>
        </w:rPr>
      </w:pPr>
      <w:r w:rsidRPr="00A87C8D">
        <w:rPr>
          <w:rFonts w:eastAsia="Times New Roman"/>
          <w:color w:val="000000" w:themeColor="text1"/>
          <w:lang w:eastAsia="en-GB"/>
        </w:rPr>
        <w:t>be mobile</w:t>
      </w:r>
    </w:p>
    <w:p w14:paraId="32080371" w14:textId="5BD8ACF3" w:rsidR="00F568E3" w:rsidRPr="00A87C8D" w:rsidRDefault="00F568E3" w:rsidP="00E51FC4">
      <w:pPr>
        <w:numPr>
          <w:ilvl w:val="0"/>
          <w:numId w:val="10"/>
        </w:numPr>
        <w:spacing w:after="0" w:line="240" w:lineRule="auto"/>
        <w:rPr>
          <w:rFonts w:eastAsia="Times New Roman"/>
          <w:color w:val="000000" w:themeColor="text1"/>
          <w:lang w:eastAsia="en-GB"/>
        </w:rPr>
      </w:pPr>
      <w:r w:rsidRPr="00A87C8D">
        <w:rPr>
          <w:rFonts w:eastAsia="Times New Roman"/>
          <w:color w:val="000000" w:themeColor="text1"/>
          <w:lang w:eastAsia="en-GB"/>
        </w:rPr>
        <w:t>build and maintain relationship</w:t>
      </w:r>
      <w:r w:rsidR="003F727D" w:rsidRPr="00A87C8D">
        <w:rPr>
          <w:rFonts w:eastAsia="Times New Roman"/>
          <w:color w:val="000000" w:themeColor="text1"/>
          <w:lang w:eastAsia="en-GB"/>
        </w:rPr>
        <w:t xml:space="preserve">s </w:t>
      </w:r>
    </w:p>
    <w:p w14:paraId="7878C390" w14:textId="13099386" w:rsidR="00F568E3" w:rsidRPr="00A87C8D" w:rsidRDefault="00F568E3" w:rsidP="00E51FC4">
      <w:pPr>
        <w:numPr>
          <w:ilvl w:val="0"/>
          <w:numId w:val="10"/>
        </w:numPr>
        <w:spacing w:after="0" w:line="240" w:lineRule="auto"/>
        <w:rPr>
          <w:rFonts w:eastAsia="Times New Roman"/>
          <w:color w:val="000000" w:themeColor="text1"/>
          <w:lang w:eastAsia="en-GB"/>
        </w:rPr>
      </w:pPr>
      <w:r w:rsidRPr="00A87C8D">
        <w:rPr>
          <w:rFonts w:eastAsia="Times New Roman"/>
          <w:color w:val="000000" w:themeColor="text1"/>
          <w:lang w:eastAsia="en-GB"/>
        </w:rPr>
        <w:t>contribute to society.</w:t>
      </w:r>
      <w:r w:rsidR="003F727D" w:rsidRPr="00A87C8D">
        <w:rPr>
          <w:rStyle w:val="FootnoteReference"/>
          <w:rFonts w:eastAsia="Times New Roman"/>
          <w:color w:val="000000" w:themeColor="text1"/>
          <w:lang w:eastAsia="en-GB"/>
        </w:rPr>
        <w:footnoteReference w:id="1"/>
      </w:r>
    </w:p>
    <w:p w14:paraId="004ED443" w14:textId="77777777" w:rsidR="00BF6CCF" w:rsidRPr="00833E1E" w:rsidRDefault="00BF6CCF" w:rsidP="00833E1E"/>
    <w:p w14:paraId="0D46552D" w14:textId="1F93CAB1" w:rsidR="00833E1E" w:rsidRPr="00833E1E" w:rsidRDefault="00833E1E" w:rsidP="00833E1E">
      <w:pPr>
        <w:rPr>
          <w:rFonts w:eastAsiaTheme="majorEastAsia"/>
          <w:b/>
          <w:bCs/>
        </w:rPr>
      </w:pPr>
      <w:r w:rsidRPr="00833E1E">
        <w:rPr>
          <w:rFonts w:eastAsiaTheme="majorEastAsia"/>
          <w:b/>
          <w:bCs/>
        </w:rPr>
        <w:t>What determines healthy ageing?</w:t>
      </w:r>
    </w:p>
    <w:p w14:paraId="29FB9A0E" w14:textId="75A8EB73" w:rsidR="005977AD" w:rsidRDefault="005977AD" w:rsidP="006C33B1">
      <w:pPr>
        <w:spacing w:after="0"/>
        <w:jc w:val="both"/>
      </w:pPr>
      <w:r>
        <w:t>With the world’s population ageing at a faster rate than in the past, there is an increasing focus on understanding the factors that contribute to healthy ageing.</w:t>
      </w:r>
    </w:p>
    <w:p w14:paraId="5089D8C4" w14:textId="08C84C96" w:rsidR="003E24AB" w:rsidRDefault="003E24AB" w:rsidP="006C33B1">
      <w:pPr>
        <w:spacing w:after="0"/>
        <w:jc w:val="both"/>
      </w:pPr>
    </w:p>
    <w:p w14:paraId="072ECB05" w14:textId="368D10C7" w:rsidR="00E137E7" w:rsidRPr="00A87C8D" w:rsidRDefault="00E137E7" w:rsidP="006C33B1">
      <w:pPr>
        <w:spacing w:after="0" w:line="240" w:lineRule="auto"/>
        <w:jc w:val="both"/>
        <w:rPr>
          <w:rFonts w:eastAsia="Times New Roman"/>
          <w:color w:val="000000" w:themeColor="text1"/>
          <w:lang w:eastAsia="en-GB"/>
        </w:rPr>
      </w:pPr>
      <w:r w:rsidRPr="00A87C8D">
        <w:rPr>
          <w:color w:val="000000" w:themeColor="text1"/>
        </w:rPr>
        <w:t xml:space="preserve">The World Health Organization has found that an older person’s capacity and circumstances are shaped by the cumulative impact of advantage and disadvantage across their lives. </w:t>
      </w:r>
      <w:r w:rsidRPr="00A87C8D">
        <w:rPr>
          <w:rFonts w:eastAsia="Times New Roman"/>
          <w:color w:val="000000" w:themeColor="text1"/>
          <w:lang w:eastAsia="en-GB"/>
        </w:rPr>
        <w:t>This includes factors such as the family they were born into, gender, ethnicity, level of education and financial resources.</w:t>
      </w:r>
    </w:p>
    <w:p w14:paraId="5CC96760" w14:textId="77777777" w:rsidR="00E137E7" w:rsidRPr="00A87C8D" w:rsidRDefault="00E137E7" w:rsidP="006C33B1">
      <w:pPr>
        <w:spacing w:after="0" w:line="240" w:lineRule="auto"/>
        <w:jc w:val="both"/>
        <w:rPr>
          <w:color w:val="000000" w:themeColor="text1"/>
        </w:rPr>
      </w:pPr>
    </w:p>
    <w:p w14:paraId="67F24A37" w14:textId="748B7A03" w:rsidR="00E137E7" w:rsidRPr="00A87C8D" w:rsidRDefault="00E137E7" w:rsidP="006C33B1">
      <w:pPr>
        <w:spacing w:after="0" w:line="240" w:lineRule="auto"/>
        <w:jc w:val="both"/>
        <w:rPr>
          <w:rFonts w:eastAsia="Times New Roman"/>
          <w:color w:val="000000" w:themeColor="text1"/>
          <w:lang w:eastAsia="en-GB"/>
        </w:rPr>
      </w:pPr>
      <w:r w:rsidRPr="00A87C8D">
        <w:rPr>
          <w:rFonts w:eastAsia="Times New Roman"/>
          <w:color w:val="000000" w:themeColor="text1"/>
          <w:lang w:eastAsia="en-GB"/>
        </w:rPr>
        <w:t>It also highlights that there is no typical older person. Some older people are strong mentally and physically while others require extensive care and support. It is important that policies are framed to improve the functional ability of all older people, whether they are robust, care dependent or in between.</w:t>
      </w:r>
    </w:p>
    <w:p w14:paraId="11C478FF" w14:textId="10A3F2D6" w:rsidR="003E24AB" w:rsidRDefault="003E24AB" w:rsidP="006C33B1">
      <w:pPr>
        <w:spacing w:after="0"/>
        <w:jc w:val="both"/>
      </w:pPr>
    </w:p>
    <w:p w14:paraId="4E8F7468" w14:textId="250E8462" w:rsidR="007B7D31" w:rsidRDefault="00733632" w:rsidP="006C33B1">
      <w:pPr>
        <w:jc w:val="both"/>
        <w:rPr>
          <w:lang w:eastAsia="en-AU"/>
        </w:rPr>
      </w:pPr>
      <w:r>
        <w:rPr>
          <w:lang w:eastAsia="en-AU"/>
        </w:rPr>
        <w:t>In addition, h</w:t>
      </w:r>
      <w:r w:rsidR="007B7D31">
        <w:rPr>
          <w:lang w:eastAsia="en-AU"/>
        </w:rPr>
        <w:t xml:space="preserve">ealthy ageing </w:t>
      </w:r>
      <w:proofErr w:type="gramStart"/>
      <w:r w:rsidR="007B7D31">
        <w:rPr>
          <w:lang w:eastAsia="en-AU"/>
        </w:rPr>
        <w:t>research</w:t>
      </w:r>
      <w:proofErr w:type="gramEnd"/>
      <w:r w:rsidR="007B7D31">
        <w:rPr>
          <w:lang w:eastAsia="en-AU"/>
        </w:rPr>
        <w:t xml:space="preserve"> and literature point to the</w:t>
      </w:r>
      <w:r w:rsidR="007B7D31" w:rsidRPr="00833E1E">
        <w:rPr>
          <w:lang w:eastAsia="en-AU"/>
        </w:rPr>
        <w:t xml:space="preserve"> close connection between</w:t>
      </w:r>
      <w:r w:rsidR="007B7D31">
        <w:rPr>
          <w:lang w:eastAsia="en-AU"/>
        </w:rPr>
        <w:t xml:space="preserve"> </w:t>
      </w:r>
      <w:r w:rsidR="007B7D31" w:rsidRPr="00833E1E">
        <w:rPr>
          <w:lang w:eastAsia="en-AU"/>
        </w:rPr>
        <w:t>social participation</w:t>
      </w:r>
      <w:r w:rsidR="007B7D31">
        <w:rPr>
          <w:lang w:eastAsia="en-AU"/>
        </w:rPr>
        <w:t xml:space="preserve"> </w:t>
      </w:r>
      <w:r w:rsidR="007B7D31" w:rsidRPr="00833E1E">
        <w:rPr>
          <w:lang w:eastAsia="en-AU"/>
        </w:rPr>
        <w:t xml:space="preserve">and ageing well. Social and structural factors including financial security, housing, </w:t>
      </w:r>
      <w:r w:rsidR="007B7D31" w:rsidRPr="00657544">
        <w:rPr>
          <w:lang w:eastAsia="en-AU"/>
        </w:rPr>
        <w:t>transport, accessible urban design,</w:t>
      </w:r>
      <w:r w:rsidR="007B7D31">
        <w:rPr>
          <w:lang w:eastAsia="en-AU"/>
        </w:rPr>
        <w:t xml:space="preserve"> </w:t>
      </w:r>
      <w:r w:rsidR="007B7D31" w:rsidRPr="00833E1E">
        <w:rPr>
          <w:lang w:eastAsia="en-AU"/>
        </w:rPr>
        <w:t xml:space="preserve">cultural background, gender, information access, support services and connectedness to family and community </w:t>
      </w:r>
      <w:r w:rsidR="007B7D31">
        <w:rPr>
          <w:lang w:eastAsia="en-AU"/>
        </w:rPr>
        <w:t>also</w:t>
      </w:r>
      <w:r w:rsidR="007B7D31" w:rsidRPr="00833E1E">
        <w:rPr>
          <w:lang w:eastAsia="en-AU"/>
        </w:rPr>
        <w:t xml:space="preserve"> influence the ability to age well</w:t>
      </w:r>
      <w:r w:rsidR="007B7D31">
        <w:rPr>
          <w:lang w:eastAsia="en-AU"/>
        </w:rPr>
        <w:t xml:space="preserve"> (</w:t>
      </w:r>
      <w:r w:rsidR="007C00D8">
        <w:rPr>
          <w:lang w:eastAsia="en-AU"/>
        </w:rPr>
        <w:t>Haslam, 2019</w:t>
      </w:r>
      <w:r w:rsidR="007B7D31">
        <w:rPr>
          <w:lang w:eastAsia="en-AU"/>
        </w:rPr>
        <w:t>)</w:t>
      </w:r>
      <w:r w:rsidR="007B7D31" w:rsidRPr="00833E1E">
        <w:rPr>
          <w:lang w:eastAsia="en-AU"/>
        </w:rPr>
        <w:t>.</w:t>
      </w:r>
    </w:p>
    <w:p w14:paraId="0555FD04" w14:textId="0362E3A4" w:rsidR="00F246F9" w:rsidRPr="00833E1E" w:rsidRDefault="00733632" w:rsidP="00F246F9">
      <w:pPr>
        <w:pStyle w:val="Heading1"/>
        <w:rPr>
          <w:rFonts w:ascii="Arial" w:hAnsi="Arial" w:cs="Arial"/>
          <w:color w:val="auto"/>
          <w:sz w:val="22"/>
          <w:szCs w:val="22"/>
        </w:rPr>
      </w:pPr>
      <w:bookmarkStart w:id="6" w:name="_Toc71633294"/>
      <w:r>
        <w:rPr>
          <w:rFonts w:ascii="Arial" w:hAnsi="Arial" w:cs="Arial"/>
          <w:color w:val="auto"/>
          <w:sz w:val="22"/>
          <w:szCs w:val="22"/>
        </w:rPr>
        <w:t xml:space="preserve">How was the </w:t>
      </w:r>
      <w:r w:rsidRPr="00E51FC4">
        <w:rPr>
          <w:rFonts w:ascii="Arial" w:hAnsi="Arial" w:cs="Arial"/>
          <w:i/>
          <w:iCs/>
          <w:color w:val="auto"/>
          <w:sz w:val="22"/>
          <w:szCs w:val="22"/>
        </w:rPr>
        <w:t>Healthy Ageing Strategy</w:t>
      </w:r>
      <w:r>
        <w:rPr>
          <w:rFonts w:ascii="Arial" w:hAnsi="Arial" w:cs="Arial"/>
          <w:color w:val="auto"/>
          <w:sz w:val="22"/>
          <w:szCs w:val="22"/>
        </w:rPr>
        <w:t xml:space="preserve"> developed?</w:t>
      </w:r>
      <w:bookmarkEnd w:id="6"/>
    </w:p>
    <w:p w14:paraId="3694FE65" w14:textId="77777777" w:rsidR="00F75136" w:rsidRDefault="00F75136" w:rsidP="00F154E4"/>
    <w:p w14:paraId="1F304355" w14:textId="41321DD3" w:rsidR="00F154E4" w:rsidRPr="00833E1E" w:rsidRDefault="00F154E4" w:rsidP="007C00D8">
      <w:pPr>
        <w:jc w:val="both"/>
      </w:pPr>
      <w:r w:rsidRPr="00833E1E">
        <w:t xml:space="preserve">The </w:t>
      </w:r>
      <w:r w:rsidR="006E70B2" w:rsidRPr="00E51FC4">
        <w:rPr>
          <w:i/>
          <w:iCs/>
        </w:rPr>
        <w:t xml:space="preserve">Healthy Ageing </w:t>
      </w:r>
      <w:r w:rsidR="008B0D4F" w:rsidRPr="00E51FC4">
        <w:rPr>
          <w:i/>
          <w:iCs/>
        </w:rPr>
        <w:t>Strategy</w:t>
      </w:r>
      <w:r w:rsidR="00692B6D">
        <w:rPr>
          <w:i/>
          <w:iCs/>
        </w:rPr>
        <w:t xml:space="preserve"> 2021-2025</w:t>
      </w:r>
      <w:r w:rsidR="00F01B48" w:rsidRPr="00833E1E">
        <w:t xml:space="preserve"> is </w:t>
      </w:r>
      <w:r w:rsidR="007B7D31">
        <w:t xml:space="preserve">a </w:t>
      </w:r>
      <w:r w:rsidR="00F75136">
        <w:t>four</w:t>
      </w:r>
      <w:r w:rsidR="000D3EEF">
        <w:t>-</w:t>
      </w:r>
      <w:r w:rsidR="00951E43">
        <w:t>year</w:t>
      </w:r>
      <w:r w:rsidR="00F01B48" w:rsidRPr="00833E1E">
        <w:t xml:space="preserve"> roadmap</w:t>
      </w:r>
      <w:r w:rsidR="007B7D31">
        <w:t xml:space="preserve"> for Inner West Council</w:t>
      </w:r>
      <w:r w:rsidR="00F01B48" w:rsidRPr="00833E1E">
        <w:t xml:space="preserve"> </w:t>
      </w:r>
      <w:r w:rsidR="00F75136">
        <w:t>to</w:t>
      </w:r>
      <w:r w:rsidR="00F75136" w:rsidRPr="00833E1E">
        <w:t xml:space="preserve"> </w:t>
      </w:r>
      <w:r w:rsidR="00F01B48" w:rsidRPr="00833E1E">
        <w:t>support a growing number of residents to continue</w:t>
      </w:r>
      <w:r w:rsidR="00F75136">
        <w:t xml:space="preserve"> to live full and rewarding lives </w:t>
      </w:r>
      <w:r w:rsidR="007B7D31" w:rsidRPr="00833E1E">
        <w:t>as they age</w:t>
      </w:r>
      <w:r w:rsidR="00F01B48" w:rsidRPr="00833E1E">
        <w:t>.</w:t>
      </w:r>
    </w:p>
    <w:p w14:paraId="0932781E" w14:textId="6F85384E" w:rsidR="00F246F9" w:rsidRDefault="00692B6D" w:rsidP="007C00D8">
      <w:pPr>
        <w:jc w:val="both"/>
        <w:rPr>
          <w:lang w:eastAsia="en-AU"/>
        </w:rPr>
      </w:pPr>
      <w:r>
        <w:rPr>
          <w:lang w:eastAsia="en-AU"/>
        </w:rPr>
        <w:t xml:space="preserve">Through surveys and focus groups, </w:t>
      </w:r>
      <w:r>
        <w:t>m</w:t>
      </w:r>
      <w:r w:rsidR="00733632">
        <w:t>ore than</w:t>
      </w:r>
      <w:r w:rsidR="00F01B48">
        <w:t xml:space="preserve"> 600 residents from across the Inner West contributed their </w:t>
      </w:r>
      <w:r w:rsidR="00A87C8D">
        <w:t xml:space="preserve">views on the </w:t>
      </w:r>
      <w:r w:rsidR="00733632" w:rsidRPr="50D111FD">
        <w:rPr>
          <w:lang w:eastAsia="en-AU"/>
        </w:rPr>
        <w:t>interests, needs, aspirations and challenges of people as they age</w:t>
      </w:r>
      <w:r w:rsidR="00733632">
        <w:t>. S</w:t>
      </w:r>
      <w:r w:rsidR="00F01B48">
        <w:t>ervice providers and community</w:t>
      </w:r>
      <w:r w:rsidR="0970926A">
        <w:t>-</w:t>
      </w:r>
      <w:r w:rsidR="00F01B48">
        <w:t>based organisations, stakeholders from government and business, and Council staff</w:t>
      </w:r>
      <w:r w:rsidR="00733632">
        <w:t xml:space="preserve"> also contributed </w:t>
      </w:r>
      <w:r w:rsidR="00280395">
        <w:t>to the development</w:t>
      </w:r>
      <w:r w:rsidR="00733632">
        <w:t xml:space="preserve"> o</w:t>
      </w:r>
      <w:r w:rsidR="00280395">
        <w:t>f</w:t>
      </w:r>
      <w:r w:rsidR="00733632">
        <w:t xml:space="preserve"> the</w:t>
      </w:r>
      <w:r w:rsidR="00DC3475" w:rsidRPr="50D111FD">
        <w:rPr>
          <w:lang w:eastAsia="en-AU"/>
        </w:rPr>
        <w:t xml:space="preserve"> strategy</w:t>
      </w:r>
      <w:r w:rsidR="00782876" w:rsidRPr="50D111FD">
        <w:rPr>
          <w:lang w:eastAsia="en-AU"/>
        </w:rPr>
        <w:t>.</w:t>
      </w:r>
    </w:p>
    <w:p w14:paraId="05CE53E7" w14:textId="05FFF694" w:rsidR="007B7D31" w:rsidRPr="00833E1E" w:rsidRDefault="00692B6D" w:rsidP="007C00D8">
      <w:pPr>
        <w:jc w:val="both"/>
      </w:pPr>
      <w:r>
        <w:t>In addition to</w:t>
      </w:r>
      <w:r w:rsidR="005977AD">
        <w:t xml:space="preserve"> the contribution from</w:t>
      </w:r>
      <w:r>
        <w:t xml:space="preserve"> community and other stakeholders, t</w:t>
      </w:r>
      <w:r w:rsidR="00280395">
        <w:t xml:space="preserve">he </w:t>
      </w:r>
      <w:r>
        <w:t xml:space="preserve">strategy </w:t>
      </w:r>
      <w:r w:rsidR="00280395">
        <w:t xml:space="preserve">reflects input from </w:t>
      </w:r>
      <w:r w:rsidR="000D3EEF">
        <w:t xml:space="preserve">an </w:t>
      </w:r>
      <w:r w:rsidR="00280395">
        <w:t>e</w:t>
      </w:r>
      <w:r w:rsidR="007B7D31" w:rsidRPr="00833E1E">
        <w:t xml:space="preserve">xpert </w:t>
      </w:r>
      <w:r w:rsidR="00280395">
        <w:t>forum</w:t>
      </w:r>
      <w:r w:rsidR="000D3EEF">
        <w:t>,</w:t>
      </w:r>
      <w:r w:rsidR="007B7D31" w:rsidRPr="00833E1E" w:rsidDel="00F75136">
        <w:t xml:space="preserve"> </w:t>
      </w:r>
      <w:r w:rsidR="007B7D31">
        <w:t>and findings from</w:t>
      </w:r>
      <w:r w:rsidR="007B7D31" w:rsidRPr="00833E1E">
        <w:t xml:space="preserve"> healthy ageing</w:t>
      </w:r>
      <w:r w:rsidR="007B7D31">
        <w:t xml:space="preserve"> research and literature</w:t>
      </w:r>
      <w:r w:rsidR="007B7D31" w:rsidRPr="00833E1E">
        <w:t xml:space="preserve">. </w:t>
      </w:r>
    </w:p>
    <w:p w14:paraId="264F695A" w14:textId="77777777" w:rsidR="007B7D31" w:rsidRPr="00833E1E" w:rsidRDefault="007B7D31" w:rsidP="00CB6444">
      <w:pPr>
        <w:rPr>
          <w:lang w:eastAsia="en-AU"/>
        </w:rPr>
      </w:pPr>
    </w:p>
    <w:p w14:paraId="27AD12F0" w14:textId="452E7ADB" w:rsidR="005F5401" w:rsidRPr="00833E1E" w:rsidRDefault="00833E1E" w:rsidP="00D07EFB">
      <w:pPr>
        <w:pStyle w:val="Heading2"/>
        <w:rPr>
          <w:rFonts w:ascii="Arial" w:hAnsi="Arial" w:cs="Arial"/>
        </w:rPr>
      </w:pPr>
      <w:bookmarkStart w:id="7" w:name="_Toc71633295"/>
      <w:r w:rsidRPr="00833E1E">
        <w:rPr>
          <w:rFonts w:ascii="Arial" w:hAnsi="Arial" w:cs="Arial"/>
          <w:color w:val="auto"/>
          <w:sz w:val="22"/>
          <w:szCs w:val="22"/>
        </w:rPr>
        <w:t>Profile</w:t>
      </w:r>
      <w:r w:rsidR="005F5401" w:rsidRPr="00833E1E">
        <w:rPr>
          <w:rFonts w:ascii="Arial" w:hAnsi="Arial" w:cs="Arial"/>
          <w:color w:val="auto"/>
          <w:sz w:val="22"/>
          <w:szCs w:val="22"/>
        </w:rPr>
        <w:t xml:space="preserve"> of ageing in the Inner West</w:t>
      </w:r>
      <w:bookmarkEnd w:id="7"/>
    </w:p>
    <w:p w14:paraId="4CE7EEFF" w14:textId="77777777" w:rsidR="00280395" w:rsidRDefault="00280395" w:rsidP="005F5401"/>
    <w:p w14:paraId="1207E444" w14:textId="7D566869" w:rsidR="00280395" w:rsidRDefault="00280395" w:rsidP="007C00D8">
      <w:pPr>
        <w:jc w:val="both"/>
      </w:pPr>
      <w:r>
        <w:t>More than</w:t>
      </w:r>
      <w:r w:rsidRPr="00833E1E">
        <w:t xml:space="preserve"> </w:t>
      </w:r>
      <w:r w:rsidR="005F5401" w:rsidRPr="00833E1E">
        <w:t xml:space="preserve">200,000 people live in the Inner West, and the population is growing. </w:t>
      </w:r>
      <w:r w:rsidR="00561B05" w:rsidRPr="00833E1E">
        <w:t xml:space="preserve">At the 2016 census </w:t>
      </w:r>
      <w:r w:rsidR="00CE7D3E">
        <w:t xml:space="preserve">54,628 </w:t>
      </w:r>
      <w:r w:rsidR="00561B05" w:rsidRPr="00833E1E">
        <w:t>people were</w:t>
      </w:r>
      <w:r>
        <w:t xml:space="preserve"> aged</w:t>
      </w:r>
      <w:r w:rsidR="00561B05" w:rsidRPr="00833E1E">
        <w:t xml:space="preserve"> 50 years or over</w:t>
      </w:r>
      <w:r>
        <w:t>,</w:t>
      </w:r>
      <w:r w:rsidR="00561B05" w:rsidRPr="00833E1E">
        <w:t xml:space="preserve"> and </w:t>
      </w:r>
      <w:r w:rsidR="005E47EA">
        <w:t>31,969 were 60 years and over</w:t>
      </w:r>
      <w:r w:rsidR="00CE7D3E">
        <w:t xml:space="preserve">. </w:t>
      </w:r>
    </w:p>
    <w:p w14:paraId="0FCFAE31" w14:textId="33CE3F18" w:rsidR="00561B05" w:rsidRDefault="00280395" w:rsidP="007C00D8">
      <w:pPr>
        <w:jc w:val="both"/>
      </w:pPr>
      <w:r>
        <w:t>The</w:t>
      </w:r>
      <w:r w:rsidR="00692B6D">
        <w:t xml:space="preserve"> Inner West Council’s</w:t>
      </w:r>
      <w:r>
        <w:t xml:space="preserve"> </w:t>
      </w:r>
      <w:r w:rsidRPr="00E51FC4">
        <w:rPr>
          <w:i/>
          <w:iCs/>
        </w:rPr>
        <w:t>Healthy Ageing Strategy</w:t>
      </w:r>
      <w:r w:rsidR="00692B6D">
        <w:rPr>
          <w:i/>
          <w:iCs/>
        </w:rPr>
        <w:t xml:space="preserve"> 2021-2025</w:t>
      </w:r>
      <w:r>
        <w:t xml:space="preserve"> is focused primarily on people aged </w:t>
      </w:r>
      <w:r w:rsidR="00CE7D3E">
        <w:t>over 50 years</w:t>
      </w:r>
      <w:r w:rsidR="00561B05">
        <w:t xml:space="preserve">. </w:t>
      </w:r>
      <w:r w:rsidR="00BF6CCF">
        <w:t>T</w:t>
      </w:r>
      <w:r w:rsidR="00561B05">
        <w:t xml:space="preserve">he </w:t>
      </w:r>
      <w:r>
        <w:t xml:space="preserve">total </w:t>
      </w:r>
      <w:r w:rsidR="00561B05">
        <w:t>number of people aged over 50</w:t>
      </w:r>
      <w:r w:rsidR="001632F9">
        <w:t xml:space="preserve"> </w:t>
      </w:r>
      <w:r>
        <w:t>in our community</w:t>
      </w:r>
      <w:r w:rsidR="00561B05">
        <w:t xml:space="preserve"> will increase significantly</w:t>
      </w:r>
      <w:r>
        <w:t xml:space="preserve"> </w:t>
      </w:r>
      <w:proofErr w:type="gramStart"/>
      <w:r>
        <w:t xml:space="preserve">as a result </w:t>
      </w:r>
      <w:r w:rsidR="00561B05">
        <w:t>of</w:t>
      </w:r>
      <w:proofErr w:type="gramEnd"/>
      <w:r w:rsidR="00561B05">
        <w:t xml:space="preserve"> </w:t>
      </w:r>
      <w:r>
        <w:t>ageing of</w:t>
      </w:r>
      <w:r w:rsidR="00561B05">
        <w:t xml:space="preserve"> existing residents, and new residents moving into the area.</w:t>
      </w:r>
    </w:p>
    <w:p w14:paraId="6EE73A9A" w14:textId="720AC9DD" w:rsidR="00561B05" w:rsidRDefault="00561B05" w:rsidP="007C00D8">
      <w:pPr>
        <w:jc w:val="both"/>
      </w:pPr>
      <w:r>
        <w:t xml:space="preserve">Residents </w:t>
      </w:r>
      <w:r w:rsidR="00A87C8D">
        <w:t xml:space="preserve">aged </w:t>
      </w:r>
      <w:r>
        <w:t>50 years or over are</w:t>
      </w:r>
      <w:r w:rsidR="00692B6D">
        <w:t xml:space="preserve"> </w:t>
      </w:r>
      <w:r>
        <w:t>diverse</w:t>
      </w:r>
      <w:r w:rsidR="00692B6D">
        <w:t xml:space="preserve">. </w:t>
      </w:r>
      <w:r>
        <w:t>A key feature</w:t>
      </w:r>
      <w:r w:rsidR="001632F9">
        <w:t xml:space="preserve"> of the community</w:t>
      </w:r>
      <w:r>
        <w:t xml:space="preserve"> is the ageing of the wave of migrants who made the </w:t>
      </w:r>
      <w:r w:rsidR="005977AD">
        <w:t xml:space="preserve">Inner West </w:t>
      </w:r>
      <w:r>
        <w:t xml:space="preserve">suburbs their home in the 1950s and 1960s. The </w:t>
      </w:r>
      <w:r w:rsidR="00BF6CCF">
        <w:t>largest</w:t>
      </w:r>
      <w:r>
        <w:t xml:space="preserve"> (non-English) language groups for residents 50 years and over include </w:t>
      </w:r>
      <w:r w:rsidR="00BF6CCF">
        <w:t xml:space="preserve">Arabic, Cantonese, </w:t>
      </w:r>
      <w:r>
        <w:t xml:space="preserve">Greek, Italian, </w:t>
      </w:r>
      <w:r w:rsidR="00BF6CCF">
        <w:t>Mandarin,</w:t>
      </w:r>
      <w:r>
        <w:t xml:space="preserve"> Nepali</w:t>
      </w:r>
      <w:r w:rsidR="00BF6CCF">
        <w:t xml:space="preserve">, </w:t>
      </w:r>
      <w:r>
        <w:t>Portuguese</w:t>
      </w:r>
      <w:r w:rsidR="00BF6CCF">
        <w:t>,</w:t>
      </w:r>
      <w:r w:rsidR="00BF6CCF" w:rsidRPr="00BF6CCF">
        <w:t xml:space="preserve"> </w:t>
      </w:r>
      <w:r w:rsidR="00BF6CCF">
        <w:t>Shanghainese, Spanish</w:t>
      </w:r>
      <w:r w:rsidR="00BF6CCF" w:rsidRPr="00BF6CCF">
        <w:t xml:space="preserve"> </w:t>
      </w:r>
      <w:r w:rsidR="00BF6CCF">
        <w:t>and</w:t>
      </w:r>
      <w:r w:rsidR="00BF6CCF" w:rsidRPr="00BF6CCF">
        <w:t xml:space="preserve"> </w:t>
      </w:r>
      <w:r w:rsidR="00BF6CCF">
        <w:t>Vietnamese.</w:t>
      </w:r>
    </w:p>
    <w:p w14:paraId="6D1F9914" w14:textId="653C75A8" w:rsidR="00692B6D" w:rsidRDefault="00692B6D" w:rsidP="007C00D8">
      <w:pPr>
        <w:jc w:val="both"/>
      </w:pPr>
      <w:r>
        <w:t xml:space="preserve">Residents in this age group also </w:t>
      </w:r>
      <w:r w:rsidR="005977AD">
        <w:t xml:space="preserve">have </w:t>
      </w:r>
      <w:r>
        <w:t xml:space="preserve">varied faiths, diverse sexual orientation, and differences in their relative socio-economic advantage and disadvantage. </w:t>
      </w:r>
    </w:p>
    <w:p w14:paraId="282D6C3E" w14:textId="563CB1C2" w:rsidR="00561B05" w:rsidRDefault="00692B6D" w:rsidP="007C00D8">
      <w:pPr>
        <w:jc w:val="both"/>
      </w:pPr>
      <w:r>
        <w:t>An additional consideration that may impact older residents in the Inner West is</w:t>
      </w:r>
      <w:r w:rsidR="00561B05">
        <w:t xml:space="preserve"> that physical inactivity, being overweight, obesity and low vegetable intake are more likely in areas that experience more </w:t>
      </w:r>
      <w:r w:rsidR="63E20C88">
        <w:t>disadvantage,</w:t>
      </w:r>
      <w:r w:rsidR="00561B05">
        <w:t xml:space="preserve"> and these factors can contribute to high incidents of falls, diabetes, cardiovascular disease and a predicted growth in dementia.</w:t>
      </w:r>
    </w:p>
    <w:p w14:paraId="64E15CE9" w14:textId="77777777" w:rsidR="003743C0" w:rsidRDefault="003743C0" w:rsidP="00561B05"/>
    <w:p w14:paraId="51907B9E" w14:textId="77777777" w:rsidR="003743C0" w:rsidRDefault="003743C0" w:rsidP="00561B05"/>
    <w:p w14:paraId="5D0C3AAF" w14:textId="77777777" w:rsidR="003743C0" w:rsidRDefault="003743C0" w:rsidP="00561B05"/>
    <w:p w14:paraId="18CD8B82" w14:textId="2EE33245" w:rsidR="00CE7D3E" w:rsidRDefault="00CE7D3E" w:rsidP="00561B05">
      <w:r>
        <w:t>Table 1: Inner West population over 50 years in 2016</w:t>
      </w:r>
    </w:p>
    <w:tbl>
      <w:tblPr>
        <w:tblStyle w:val="TableGrid"/>
        <w:tblW w:w="94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108"/>
        <w:gridCol w:w="1462"/>
        <w:gridCol w:w="1172"/>
        <w:gridCol w:w="1231"/>
        <w:gridCol w:w="1303"/>
        <w:gridCol w:w="1206"/>
        <w:gridCol w:w="1088"/>
        <w:gridCol w:w="923"/>
      </w:tblGrid>
      <w:tr w:rsidR="0023073B" w:rsidRPr="00CB6444" w14:paraId="7A8BBB26" w14:textId="77777777" w:rsidTr="009F6A91">
        <w:trPr>
          <w:trHeight w:val="557"/>
        </w:trPr>
        <w:tc>
          <w:tcPr>
            <w:tcW w:w="1108" w:type="dxa"/>
            <w:shd w:val="clear" w:color="auto" w:fill="DAEEF3" w:themeFill="accent5" w:themeFillTint="33"/>
            <w:vAlign w:val="center"/>
          </w:tcPr>
          <w:p w14:paraId="5D6C2F40" w14:textId="77777777" w:rsidR="0023073B" w:rsidRPr="00CB6444" w:rsidRDefault="0023073B" w:rsidP="007B7D31">
            <w:r w:rsidRPr="00CB6444">
              <w:t>Age Group</w:t>
            </w:r>
          </w:p>
        </w:tc>
        <w:tc>
          <w:tcPr>
            <w:tcW w:w="1462" w:type="dxa"/>
            <w:shd w:val="clear" w:color="auto" w:fill="EFD9D9"/>
            <w:vAlign w:val="center"/>
          </w:tcPr>
          <w:p w14:paraId="1A5D9866" w14:textId="77777777" w:rsidR="0023073B" w:rsidRDefault="0023073B" w:rsidP="007B7D31">
            <w:r w:rsidRPr="00CB6444">
              <w:t xml:space="preserve">Ashfield </w:t>
            </w:r>
          </w:p>
          <w:p w14:paraId="13AC34FC" w14:textId="77777777" w:rsidR="0023073B" w:rsidRPr="00CB6444" w:rsidRDefault="0023073B" w:rsidP="007B7D31">
            <w:proofErr w:type="spellStart"/>
            <w:r>
              <w:t>Djarrawunang</w:t>
            </w:r>
            <w:proofErr w:type="spellEnd"/>
            <w:r>
              <w:t xml:space="preserve"> </w:t>
            </w:r>
            <w:r w:rsidRPr="00CB6444">
              <w:t>Ward</w:t>
            </w:r>
          </w:p>
        </w:tc>
        <w:tc>
          <w:tcPr>
            <w:tcW w:w="1172" w:type="dxa"/>
            <w:shd w:val="clear" w:color="auto" w:fill="A9E5AF"/>
            <w:vAlign w:val="center"/>
          </w:tcPr>
          <w:p w14:paraId="5079564D" w14:textId="77777777" w:rsidR="0023073B" w:rsidRDefault="0023073B" w:rsidP="007B7D31">
            <w:r w:rsidRPr="00CB6444">
              <w:t xml:space="preserve">Balmain </w:t>
            </w:r>
          </w:p>
          <w:p w14:paraId="59F0AEFF" w14:textId="77777777" w:rsidR="0023073B" w:rsidRDefault="0023073B" w:rsidP="007B7D31">
            <w:proofErr w:type="spellStart"/>
            <w:r>
              <w:t>Baludarri</w:t>
            </w:r>
            <w:proofErr w:type="spellEnd"/>
          </w:p>
          <w:p w14:paraId="0176637A" w14:textId="77777777" w:rsidR="0023073B" w:rsidRPr="00CB6444" w:rsidRDefault="0023073B" w:rsidP="007B7D31">
            <w:r w:rsidRPr="00CB6444">
              <w:t>Ward</w:t>
            </w:r>
          </w:p>
        </w:tc>
        <w:tc>
          <w:tcPr>
            <w:tcW w:w="1231" w:type="dxa"/>
            <w:shd w:val="clear" w:color="auto" w:fill="EBBDFF"/>
            <w:vAlign w:val="center"/>
          </w:tcPr>
          <w:p w14:paraId="35D2F5F2" w14:textId="77777777" w:rsidR="0023073B" w:rsidRDefault="0023073B" w:rsidP="007B7D31">
            <w:r w:rsidRPr="00CB6444">
              <w:t xml:space="preserve">Leichhardt </w:t>
            </w:r>
          </w:p>
          <w:p w14:paraId="79320859" w14:textId="77777777" w:rsidR="0023073B" w:rsidRDefault="0023073B" w:rsidP="007B7D31">
            <w:proofErr w:type="spellStart"/>
            <w:r>
              <w:t>Gulgadya</w:t>
            </w:r>
            <w:proofErr w:type="spellEnd"/>
          </w:p>
          <w:p w14:paraId="0F7735EC" w14:textId="77777777" w:rsidR="0023073B" w:rsidRPr="00CB6444" w:rsidRDefault="0023073B" w:rsidP="007B7D31">
            <w:r w:rsidRPr="00CB6444">
              <w:t>Ward</w:t>
            </w:r>
          </w:p>
        </w:tc>
        <w:tc>
          <w:tcPr>
            <w:tcW w:w="1303" w:type="dxa"/>
            <w:shd w:val="clear" w:color="auto" w:fill="F6E0A2"/>
            <w:vAlign w:val="center"/>
          </w:tcPr>
          <w:p w14:paraId="6B5C4E50" w14:textId="77777777" w:rsidR="0023073B" w:rsidRDefault="0023073B" w:rsidP="007B7D31">
            <w:r w:rsidRPr="00CB6444">
              <w:t xml:space="preserve">Marrickville </w:t>
            </w:r>
          </w:p>
          <w:p w14:paraId="4F353A03" w14:textId="77777777" w:rsidR="0023073B" w:rsidRDefault="0023073B" w:rsidP="007B7D31">
            <w:proofErr w:type="spellStart"/>
            <w:r>
              <w:t>Midjuburi</w:t>
            </w:r>
            <w:proofErr w:type="spellEnd"/>
          </w:p>
          <w:p w14:paraId="47FF751C" w14:textId="77777777" w:rsidR="0023073B" w:rsidRPr="00CB6444" w:rsidRDefault="0023073B" w:rsidP="007B7D31">
            <w:r w:rsidRPr="00CB6444">
              <w:t>Ward</w:t>
            </w:r>
          </w:p>
        </w:tc>
        <w:tc>
          <w:tcPr>
            <w:tcW w:w="1206" w:type="dxa"/>
            <w:shd w:val="clear" w:color="auto" w:fill="94E5FE"/>
            <w:vAlign w:val="center"/>
          </w:tcPr>
          <w:p w14:paraId="2E3C7BDB" w14:textId="77777777" w:rsidR="0023073B" w:rsidRDefault="0023073B" w:rsidP="007B7D31">
            <w:r w:rsidRPr="00CB6444">
              <w:t xml:space="preserve">Stanmore </w:t>
            </w:r>
          </w:p>
          <w:p w14:paraId="61683B60" w14:textId="77777777" w:rsidR="0023073B" w:rsidRDefault="0023073B" w:rsidP="007B7D31">
            <w:proofErr w:type="spellStart"/>
            <w:r>
              <w:t>Damun</w:t>
            </w:r>
            <w:proofErr w:type="spellEnd"/>
          </w:p>
          <w:p w14:paraId="76BAC244" w14:textId="77777777" w:rsidR="0023073B" w:rsidRPr="00CB6444" w:rsidRDefault="0023073B" w:rsidP="007B7D31">
            <w:r w:rsidRPr="00CB6444">
              <w:t>Ward</w:t>
            </w:r>
          </w:p>
        </w:tc>
        <w:tc>
          <w:tcPr>
            <w:tcW w:w="1088" w:type="dxa"/>
            <w:shd w:val="clear" w:color="auto" w:fill="DAEEF3" w:themeFill="accent5" w:themeFillTint="33"/>
            <w:vAlign w:val="center"/>
          </w:tcPr>
          <w:p w14:paraId="75BB9639" w14:textId="77777777" w:rsidR="0023073B" w:rsidRPr="00CB6444" w:rsidRDefault="0023073B" w:rsidP="007B7D31">
            <w:r w:rsidRPr="00CB6444">
              <w:t>Inner West %</w:t>
            </w:r>
          </w:p>
        </w:tc>
        <w:tc>
          <w:tcPr>
            <w:tcW w:w="923" w:type="dxa"/>
            <w:shd w:val="clear" w:color="auto" w:fill="DAEEF3" w:themeFill="accent5" w:themeFillTint="33"/>
            <w:vAlign w:val="center"/>
          </w:tcPr>
          <w:p w14:paraId="387EFBB9" w14:textId="77777777" w:rsidR="0023073B" w:rsidRPr="00CB6444" w:rsidRDefault="0023073B" w:rsidP="009F6A91">
            <w:pPr>
              <w:ind w:hanging="320"/>
            </w:pPr>
            <w:r w:rsidRPr="00CB6444">
              <w:t>Greater Sydney %</w:t>
            </w:r>
          </w:p>
        </w:tc>
      </w:tr>
      <w:tr w:rsidR="0023073B" w:rsidRPr="00CB6444" w14:paraId="2A230293" w14:textId="77777777" w:rsidTr="009F6A91">
        <w:tc>
          <w:tcPr>
            <w:tcW w:w="1108" w:type="dxa"/>
            <w:shd w:val="clear" w:color="auto" w:fill="auto"/>
            <w:vAlign w:val="center"/>
          </w:tcPr>
          <w:p w14:paraId="5D97A3ED" w14:textId="77777777" w:rsidR="0023073B" w:rsidRPr="00CB6444" w:rsidRDefault="0023073B" w:rsidP="007B7D31">
            <w:r w:rsidRPr="00CB6444">
              <w:t>50-59</w:t>
            </w:r>
            <w:r>
              <w:t xml:space="preserve"> years</w:t>
            </w:r>
          </w:p>
        </w:tc>
        <w:tc>
          <w:tcPr>
            <w:tcW w:w="1462" w:type="dxa"/>
            <w:shd w:val="clear" w:color="auto" w:fill="auto"/>
            <w:vAlign w:val="center"/>
          </w:tcPr>
          <w:p w14:paraId="1D78B682" w14:textId="77777777" w:rsidR="0023073B" w:rsidRPr="00CB6444" w:rsidRDefault="0023073B" w:rsidP="007B7D31">
            <w:r w:rsidRPr="00CB6444">
              <w:t>4,669</w:t>
            </w:r>
          </w:p>
          <w:p w14:paraId="3AFE52EC" w14:textId="77777777" w:rsidR="0023073B" w:rsidRPr="00CB6444" w:rsidRDefault="0023073B" w:rsidP="007B7D31">
            <w:r w:rsidRPr="00CB6444">
              <w:t>(12.3%)</w:t>
            </w:r>
          </w:p>
        </w:tc>
        <w:tc>
          <w:tcPr>
            <w:tcW w:w="1172" w:type="dxa"/>
            <w:shd w:val="clear" w:color="auto" w:fill="auto"/>
            <w:vAlign w:val="center"/>
          </w:tcPr>
          <w:p w14:paraId="49BFFC54" w14:textId="77777777" w:rsidR="0023073B" w:rsidRPr="00CB6444" w:rsidRDefault="0023073B" w:rsidP="007B7D31">
            <w:r w:rsidRPr="00CB6444">
              <w:t>4.906</w:t>
            </w:r>
          </w:p>
          <w:p w14:paraId="653FFF20" w14:textId="77777777" w:rsidR="0023073B" w:rsidRPr="00CB6444" w:rsidRDefault="0023073B" w:rsidP="007B7D31">
            <w:r w:rsidRPr="00CB6444">
              <w:t>(13.5%)</w:t>
            </w:r>
          </w:p>
        </w:tc>
        <w:tc>
          <w:tcPr>
            <w:tcW w:w="1231" w:type="dxa"/>
            <w:shd w:val="clear" w:color="auto" w:fill="auto"/>
            <w:vAlign w:val="center"/>
          </w:tcPr>
          <w:p w14:paraId="632B5BF2" w14:textId="77777777" w:rsidR="0023073B" w:rsidRPr="00CB6444" w:rsidRDefault="0023073B" w:rsidP="007B7D31">
            <w:r w:rsidRPr="00CB6444">
              <w:t>4,425</w:t>
            </w:r>
          </w:p>
          <w:p w14:paraId="11732D48" w14:textId="77777777" w:rsidR="0023073B" w:rsidRPr="00CB6444" w:rsidRDefault="0023073B" w:rsidP="007B7D31">
            <w:r w:rsidRPr="00CB6444">
              <w:t>(11.7%)</w:t>
            </w:r>
          </w:p>
        </w:tc>
        <w:tc>
          <w:tcPr>
            <w:tcW w:w="1303" w:type="dxa"/>
            <w:shd w:val="clear" w:color="auto" w:fill="auto"/>
            <w:vAlign w:val="center"/>
          </w:tcPr>
          <w:p w14:paraId="0A9CD8E2" w14:textId="77777777" w:rsidR="0023073B" w:rsidRPr="00CB6444" w:rsidRDefault="0023073B" w:rsidP="007B7D31">
            <w:r w:rsidRPr="00CB6444">
              <w:t>3,859</w:t>
            </w:r>
          </w:p>
          <w:p w14:paraId="3E3912A5" w14:textId="77777777" w:rsidR="0023073B" w:rsidRPr="00CB6444" w:rsidRDefault="0023073B" w:rsidP="007B7D31">
            <w:r w:rsidRPr="00CB6444">
              <w:t>(11.2%)</w:t>
            </w:r>
          </w:p>
        </w:tc>
        <w:tc>
          <w:tcPr>
            <w:tcW w:w="1206" w:type="dxa"/>
            <w:shd w:val="clear" w:color="auto" w:fill="auto"/>
            <w:vAlign w:val="center"/>
          </w:tcPr>
          <w:p w14:paraId="2E8D14CA" w14:textId="77777777" w:rsidR="0023073B" w:rsidRPr="00CB6444" w:rsidRDefault="0023073B" w:rsidP="007B7D31">
            <w:r w:rsidRPr="00CB6444">
              <w:t>3822</w:t>
            </w:r>
          </w:p>
          <w:p w14:paraId="756362D8" w14:textId="77777777" w:rsidR="0023073B" w:rsidRPr="00CB6444" w:rsidRDefault="0023073B" w:rsidP="007B7D31">
            <w:r w:rsidRPr="00CB6444">
              <w:t>(11%)</w:t>
            </w:r>
          </w:p>
        </w:tc>
        <w:tc>
          <w:tcPr>
            <w:tcW w:w="1088" w:type="dxa"/>
            <w:shd w:val="clear" w:color="auto" w:fill="auto"/>
            <w:vAlign w:val="center"/>
          </w:tcPr>
          <w:p w14:paraId="00D3F408" w14:textId="77777777" w:rsidR="0023073B" w:rsidRPr="00CB6444" w:rsidRDefault="0023073B" w:rsidP="007B7D31">
            <w:r w:rsidRPr="00CB6444">
              <w:t>12%</w:t>
            </w:r>
          </w:p>
        </w:tc>
        <w:tc>
          <w:tcPr>
            <w:tcW w:w="923" w:type="dxa"/>
            <w:shd w:val="clear" w:color="auto" w:fill="auto"/>
            <w:vAlign w:val="center"/>
          </w:tcPr>
          <w:p w14:paraId="5E45783F" w14:textId="77777777" w:rsidR="0023073B" w:rsidRPr="00CB6444" w:rsidRDefault="0023073B" w:rsidP="007B7D31">
            <w:r w:rsidRPr="00CB6444">
              <w:t>12.2%</w:t>
            </w:r>
          </w:p>
        </w:tc>
      </w:tr>
      <w:tr w:rsidR="0023073B" w:rsidRPr="00CB6444" w14:paraId="60A90F61" w14:textId="77777777" w:rsidTr="009F6A91">
        <w:tc>
          <w:tcPr>
            <w:tcW w:w="1108" w:type="dxa"/>
            <w:shd w:val="clear" w:color="auto" w:fill="auto"/>
            <w:vAlign w:val="center"/>
          </w:tcPr>
          <w:p w14:paraId="1C267FBF" w14:textId="77777777" w:rsidR="0023073B" w:rsidRDefault="0023073B" w:rsidP="007B7D31">
            <w:r w:rsidRPr="00CB6444">
              <w:t>60-69</w:t>
            </w:r>
          </w:p>
          <w:p w14:paraId="0BFF7AA9" w14:textId="77777777" w:rsidR="0023073B" w:rsidRPr="00CB6444" w:rsidRDefault="0023073B" w:rsidP="007B7D31">
            <w:r>
              <w:t>years</w:t>
            </w:r>
          </w:p>
        </w:tc>
        <w:tc>
          <w:tcPr>
            <w:tcW w:w="1462" w:type="dxa"/>
            <w:shd w:val="clear" w:color="auto" w:fill="auto"/>
            <w:vAlign w:val="center"/>
          </w:tcPr>
          <w:p w14:paraId="631168AE" w14:textId="77777777" w:rsidR="0023073B" w:rsidRPr="00CB6444" w:rsidRDefault="0023073B" w:rsidP="007B7D31">
            <w:r w:rsidRPr="00CB6444">
              <w:t>3,095 (8.1%)</w:t>
            </w:r>
          </w:p>
        </w:tc>
        <w:tc>
          <w:tcPr>
            <w:tcW w:w="1172" w:type="dxa"/>
            <w:shd w:val="clear" w:color="auto" w:fill="auto"/>
            <w:vAlign w:val="center"/>
          </w:tcPr>
          <w:p w14:paraId="2DE9B966" w14:textId="77777777" w:rsidR="0023073B" w:rsidRPr="00CB6444" w:rsidRDefault="0023073B" w:rsidP="007B7D31">
            <w:r w:rsidRPr="00CB6444">
              <w:t>3,889 (10.7%)</w:t>
            </w:r>
          </w:p>
        </w:tc>
        <w:tc>
          <w:tcPr>
            <w:tcW w:w="1231" w:type="dxa"/>
            <w:shd w:val="clear" w:color="auto" w:fill="auto"/>
            <w:vAlign w:val="center"/>
          </w:tcPr>
          <w:p w14:paraId="7A7A3DE4" w14:textId="77777777" w:rsidR="0023073B" w:rsidRPr="00CB6444" w:rsidRDefault="0023073B" w:rsidP="007B7D31">
            <w:r w:rsidRPr="00CB6444">
              <w:t>3,308 (8.7%)</w:t>
            </w:r>
          </w:p>
        </w:tc>
        <w:tc>
          <w:tcPr>
            <w:tcW w:w="1303" w:type="dxa"/>
            <w:shd w:val="clear" w:color="auto" w:fill="auto"/>
            <w:vAlign w:val="center"/>
          </w:tcPr>
          <w:p w14:paraId="3EA54ABD" w14:textId="77777777" w:rsidR="0023073B" w:rsidRPr="00CB6444" w:rsidRDefault="0023073B" w:rsidP="007B7D31">
            <w:r w:rsidRPr="00CB6444">
              <w:t>2,768</w:t>
            </w:r>
          </w:p>
          <w:p w14:paraId="663118B0" w14:textId="77777777" w:rsidR="0023073B" w:rsidRPr="00CB6444" w:rsidRDefault="0023073B" w:rsidP="007B7D31">
            <w:r w:rsidRPr="00CB6444">
              <w:t>(8%)</w:t>
            </w:r>
          </w:p>
        </w:tc>
        <w:tc>
          <w:tcPr>
            <w:tcW w:w="1206" w:type="dxa"/>
            <w:shd w:val="clear" w:color="auto" w:fill="auto"/>
            <w:vAlign w:val="center"/>
          </w:tcPr>
          <w:p w14:paraId="048D0496" w14:textId="77777777" w:rsidR="0023073B" w:rsidRPr="00CB6444" w:rsidRDefault="0023073B" w:rsidP="007B7D31">
            <w:r w:rsidRPr="00CB6444">
              <w:t>2,486 (7.2%)</w:t>
            </w:r>
          </w:p>
        </w:tc>
        <w:tc>
          <w:tcPr>
            <w:tcW w:w="1088" w:type="dxa"/>
            <w:shd w:val="clear" w:color="auto" w:fill="auto"/>
            <w:vAlign w:val="center"/>
          </w:tcPr>
          <w:p w14:paraId="30F5B081" w14:textId="77777777" w:rsidR="0023073B" w:rsidRPr="00CB6444" w:rsidRDefault="0023073B" w:rsidP="007B7D31">
            <w:r w:rsidRPr="00CB6444">
              <w:t>8.6%</w:t>
            </w:r>
          </w:p>
        </w:tc>
        <w:tc>
          <w:tcPr>
            <w:tcW w:w="923" w:type="dxa"/>
            <w:shd w:val="clear" w:color="auto" w:fill="auto"/>
            <w:vAlign w:val="center"/>
          </w:tcPr>
          <w:p w14:paraId="5C811FAD" w14:textId="77777777" w:rsidR="0023073B" w:rsidRPr="00CB6444" w:rsidRDefault="0023073B" w:rsidP="007B7D31">
            <w:r w:rsidRPr="00CB6444">
              <w:t>9.4%</w:t>
            </w:r>
          </w:p>
        </w:tc>
      </w:tr>
      <w:tr w:rsidR="0023073B" w:rsidRPr="00CB6444" w14:paraId="48DA1B1D" w14:textId="77777777" w:rsidTr="009F6A91">
        <w:tc>
          <w:tcPr>
            <w:tcW w:w="1108" w:type="dxa"/>
            <w:shd w:val="clear" w:color="auto" w:fill="auto"/>
            <w:vAlign w:val="center"/>
          </w:tcPr>
          <w:p w14:paraId="50BFECC8" w14:textId="77777777" w:rsidR="0023073B" w:rsidRPr="00CB6444" w:rsidRDefault="0023073B" w:rsidP="007B7D31">
            <w:r w:rsidRPr="00CB6444">
              <w:t>70-84</w:t>
            </w:r>
            <w:r>
              <w:t xml:space="preserve"> years</w:t>
            </w:r>
          </w:p>
        </w:tc>
        <w:tc>
          <w:tcPr>
            <w:tcW w:w="1462" w:type="dxa"/>
            <w:shd w:val="clear" w:color="auto" w:fill="auto"/>
            <w:vAlign w:val="center"/>
          </w:tcPr>
          <w:p w14:paraId="6DEB87C0" w14:textId="77777777" w:rsidR="0023073B" w:rsidRPr="00CB6444" w:rsidRDefault="0023073B" w:rsidP="007B7D31">
            <w:r w:rsidRPr="00CB6444">
              <w:t>2,767 (7.2%)</w:t>
            </w:r>
          </w:p>
        </w:tc>
        <w:tc>
          <w:tcPr>
            <w:tcW w:w="1172" w:type="dxa"/>
            <w:shd w:val="clear" w:color="auto" w:fill="auto"/>
            <w:vAlign w:val="center"/>
          </w:tcPr>
          <w:p w14:paraId="7FC3BB72" w14:textId="77777777" w:rsidR="0023073B" w:rsidRPr="00CB6444" w:rsidRDefault="0023073B" w:rsidP="007B7D31">
            <w:r w:rsidRPr="00CB6444">
              <w:t>2,337 (6.5%)</w:t>
            </w:r>
          </w:p>
        </w:tc>
        <w:tc>
          <w:tcPr>
            <w:tcW w:w="1231" w:type="dxa"/>
            <w:shd w:val="clear" w:color="auto" w:fill="auto"/>
            <w:vAlign w:val="center"/>
          </w:tcPr>
          <w:p w14:paraId="12FAF76F" w14:textId="77777777" w:rsidR="0023073B" w:rsidRPr="00CB6444" w:rsidRDefault="0023073B" w:rsidP="007B7D31">
            <w:r w:rsidRPr="00CB6444">
              <w:t>2,637 (6.9%)</w:t>
            </w:r>
          </w:p>
        </w:tc>
        <w:tc>
          <w:tcPr>
            <w:tcW w:w="1303" w:type="dxa"/>
            <w:shd w:val="clear" w:color="auto" w:fill="auto"/>
            <w:vAlign w:val="center"/>
          </w:tcPr>
          <w:p w14:paraId="40F309E8" w14:textId="77777777" w:rsidR="0023073B" w:rsidRPr="00CB6444" w:rsidRDefault="0023073B" w:rsidP="007B7D31">
            <w:r w:rsidRPr="00CB6444">
              <w:t>2,360 (6.9%)</w:t>
            </w:r>
          </w:p>
        </w:tc>
        <w:tc>
          <w:tcPr>
            <w:tcW w:w="1206" w:type="dxa"/>
            <w:shd w:val="clear" w:color="auto" w:fill="auto"/>
            <w:vAlign w:val="center"/>
          </w:tcPr>
          <w:p w14:paraId="46CFE60B" w14:textId="77777777" w:rsidR="0023073B" w:rsidRPr="00CB6444" w:rsidRDefault="0023073B" w:rsidP="007B7D31">
            <w:r w:rsidRPr="00CB6444">
              <w:t>1,714 (4.9%)</w:t>
            </w:r>
          </w:p>
        </w:tc>
        <w:tc>
          <w:tcPr>
            <w:tcW w:w="1088" w:type="dxa"/>
            <w:shd w:val="clear" w:color="auto" w:fill="auto"/>
            <w:vAlign w:val="center"/>
          </w:tcPr>
          <w:p w14:paraId="30B908E4" w14:textId="77777777" w:rsidR="0023073B" w:rsidRPr="00CB6444" w:rsidRDefault="0023073B" w:rsidP="007B7D31">
            <w:r w:rsidRPr="00CB6444">
              <w:t>7.5%</w:t>
            </w:r>
          </w:p>
        </w:tc>
        <w:tc>
          <w:tcPr>
            <w:tcW w:w="923" w:type="dxa"/>
            <w:shd w:val="clear" w:color="auto" w:fill="auto"/>
            <w:vAlign w:val="center"/>
          </w:tcPr>
          <w:p w14:paraId="4596E4F3" w14:textId="77777777" w:rsidR="0023073B" w:rsidRPr="00CB6444" w:rsidRDefault="0023073B" w:rsidP="007B7D31">
            <w:r w:rsidRPr="00CB6444">
              <w:t>7.5%</w:t>
            </w:r>
          </w:p>
        </w:tc>
      </w:tr>
      <w:tr w:rsidR="0023073B" w:rsidRPr="00CB6444" w14:paraId="22249E7F" w14:textId="77777777" w:rsidTr="009F6A91">
        <w:tc>
          <w:tcPr>
            <w:tcW w:w="1108" w:type="dxa"/>
            <w:shd w:val="clear" w:color="auto" w:fill="auto"/>
            <w:vAlign w:val="center"/>
          </w:tcPr>
          <w:p w14:paraId="724F0365" w14:textId="77777777" w:rsidR="0023073B" w:rsidRPr="00CB6444" w:rsidRDefault="0023073B" w:rsidP="007B7D31">
            <w:r w:rsidRPr="00CB6444">
              <w:t>85</w:t>
            </w:r>
            <w:r>
              <w:t xml:space="preserve"> years and over</w:t>
            </w:r>
          </w:p>
        </w:tc>
        <w:tc>
          <w:tcPr>
            <w:tcW w:w="1462" w:type="dxa"/>
            <w:shd w:val="clear" w:color="auto" w:fill="auto"/>
            <w:vAlign w:val="center"/>
          </w:tcPr>
          <w:p w14:paraId="5C422E0E" w14:textId="77777777" w:rsidR="0023073B" w:rsidRPr="00CB6444" w:rsidRDefault="0023073B" w:rsidP="007B7D31">
            <w:r w:rsidRPr="00CB6444">
              <w:t>879 (2.3%)</w:t>
            </w:r>
          </w:p>
        </w:tc>
        <w:tc>
          <w:tcPr>
            <w:tcW w:w="1172" w:type="dxa"/>
            <w:shd w:val="clear" w:color="auto" w:fill="auto"/>
            <w:vAlign w:val="center"/>
          </w:tcPr>
          <w:p w14:paraId="71EDAC5E" w14:textId="77777777" w:rsidR="0023073B" w:rsidRPr="00CB6444" w:rsidRDefault="0023073B" w:rsidP="007B7D31">
            <w:r w:rsidRPr="00CB6444">
              <w:t>431 (1.2%)</w:t>
            </w:r>
          </w:p>
        </w:tc>
        <w:tc>
          <w:tcPr>
            <w:tcW w:w="1231" w:type="dxa"/>
            <w:shd w:val="clear" w:color="auto" w:fill="auto"/>
            <w:vAlign w:val="center"/>
          </w:tcPr>
          <w:p w14:paraId="45FA97D2" w14:textId="77777777" w:rsidR="0023073B" w:rsidRPr="00CB6444" w:rsidRDefault="0023073B" w:rsidP="007B7D31">
            <w:r w:rsidRPr="00CB6444">
              <w:t>798 (2.1%)</w:t>
            </w:r>
          </w:p>
        </w:tc>
        <w:tc>
          <w:tcPr>
            <w:tcW w:w="1303" w:type="dxa"/>
            <w:shd w:val="clear" w:color="auto" w:fill="auto"/>
            <w:vAlign w:val="center"/>
          </w:tcPr>
          <w:p w14:paraId="399F2EED" w14:textId="77777777" w:rsidR="0023073B" w:rsidRPr="00CB6444" w:rsidRDefault="0023073B" w:rsidP="007B7D31">
            <w:r w:rsidRPr="00CB6444">
              <w:t>645 (1.9%)</w:t>
            </w:r>
          </w:p>
        </w:tc>
        <w:tc>
          <w:tcPr>
            <w:tcW w:w="1206" w:type="dxa"/>
            <w:shd w:val="clear" w:color="auto" w:fill="auto"/>
            <w:vAlign w:val="center"/>
          </w:tcPr>
          <w:p w14:paraId="2AD8198F" w14:textId="77777777" w:rsidR="0023073B" w:rsidRPr="00CB6444" w:rsidRDefault="0023073B" w:rsidP="007B7D31">
            <w:r w:rsidRPr="00CB6444">
              <w:t>347 (1%)</w:t>
            </w:r>
          </w:p>
        </w:tc>
        <w:tc>
          <w:tcPr>
            <w:tcW w:w="1088" w:type="dxa"/>
            <w:shd w:val="clear" w:color="auto" w:fill="auto"/>
            <w:vAlign w:val="center"/>
          </w:tcPr>
          <w:p w14:paraId="3F594629" w14:textId="77777777" w:rsidR="0023073B" w:rsidRPr="00CB6444" w:rsidRDefault="0023073B" w:rsidP="007B7D31">
            <w:r w:rsidRPr="00CB6444">
              <w:t>1.7%</w:t>
            </w:r>
          </w:p>
        </w:tc>
        <w:tc>
          <w:tcPr>
            <w:tcW w:w="923" w:type="dxa"/>
            <w:shd w:val="clear" w:color="auto" w:fill="auto"/>
            <w:vAlign w:val="center"/>
          </w:tcPr>
          <w:p w14:paraId="5EE56A1C" w14:textId="77777777" w:rsidR="0023073B" w:rsidRPr="00CB6444" w:rsidRDefault="0023073B" w:rsidP="007B7D31">
            <w:r w:rsidRPr="00CB6444">
              <w:t>2%</w:t>
            </w:r>
          </w:p>
        </w:tc>
      </w:tr>
    </w:tbl>
    <w:p w14:paraId="2BD56AD4" w14:textId="35701398" w:rsidR="0023073B" w:rsidRDefault="0023073B" w:rsidP="00561B05"/>
    <w:p w14:paraId="66EC4C9E" w14:textId="04A342F4" w:rsidR="0023073B" w:rsidRDefault="0023073B" w:rsidP="00561B05">
      <w:r>
        <w:t>By 20</w:t>
      </w:r>
      <w:r w:rsidR="008F457B">
        <w:t>2</w:t>
      </w:r>
      <w:r>
        <w:t>6 the following changes are predicted:</w:t>
      </w:r>
    </w:p>
    <w:p w14:paraId="3CC6879D" w14:textId="717C4228" w:rsidR="0023073B" w:rsidRDefault="00692B6D" w:rsidP="00B52910">
      <w:pPr>
        <w:pStyle w:val="ListParagraph"/>
        <w:numPr>
          <w:ilvl w:val="0"/>
          <w:numId w:val="5"/>
        </w:numPr>
      </w:pPr>
      <w:r>
        <w:t>t</w:t>
      </w:r>
      <w:r w:rsidR="00561B05" w:rsidRPr="00561B05">
        <w:t xml:space="preserve">he Inner West population </w:t>
      </w:r>
      <w:r w:rsidR="0023073B">
        <w:t>will</w:t>
      </w:r>
      <w:r w:rsidR="00561B05" w:rsidRPr="00561B05">
        <w:t xml:space="preserve"> grow by 13% to 216,917 </w:t>
      </w:r>
    </w:p>
    <w:p w14:paraId="4AEF270E" w14:textId="44630B41" w:rsidR="00BF6CCF" w:rsidRDefault="00BF6CCF" w:rsidP="00B52910">
      <w:pPr>
        <w:pStyle w:val="ListParagraph"/>
        <w:numPr>
          <w:ilvl w:val="0"/>
          <w:numId w:val="5"/>
        </w:numPr>
      </w:pPr>
      <w:r>
        <w:t xml:space="preserve">people aged 50 years and over will increase by </w:t>
      </w:r>
      <w:r w:rsidR="00BF65E4">
        <w:t>24% or 54,628 to 67,556 people</w:t>
      </w:r>
    </w:p>
    <w:p w14:paraId="7ED8D253" w14:textId="22EF21C4" w:rsidR="0023073B" w:rsidRDefault="00692B6D" w:rsidP="00B52910">
      <w:pPr>
        <w:pStyle w:val="ListParagraph"/>
        <w:numPr>
          <w:ilvl w:val="0"/>
          <w:numId w:val="5"/>
        </w:numPr>
      </w:pPr>
      <w:r>
        <w:t>p</w:t>
      </w:r>
      <w:r w:rsidR="0023073B">
        <w:t>eople aged 55 years and</w:t>
      </w:r>
      <w:r w:rsidR="00B5243D">
        <w:t xml:space="preserve"> </w:t>
      </w:r>
      <w:r w:rsidR="0023073B">
        <w:t xml:space="preserve">over will increase by 21% </w:t>
      </w:r>
      <w:r w:rsidR="00B5243D">
        <w:t xml:space="preserve">or 8,862 people </w:t>
      </w:r>
      <w:r w:rsidR="0023073B">
        <w:t xml:space="preserve">to </w:t>
      </w:r>
      <w:r w:rsidR="00B5243D">
        <w:t>51,257 people</w:t>
      </w:r>
    </w:p>
    <w:p w14:paraId="1DB637FA" w14:textId="53922992" w:rsidR="0023073B" w:rsidRDefault="002410D2" w:rsidP="00B52910">
      <w:pPr>
        <w:pStyle w:val="ListParagraph"/>
        <w:numPr>
          <w:ilvl w:val="0"/>
          <w:numId w:val="5"/>
        </w:numPr>
      </w:pPr>
      <w:r>
        <w:t>p</w:t>
      </w:r>
      <w:r w:rsidR="0023073B">
        <w:t xml:space="preserve">eople aged 65 years and over will increase by 29% or 6,669 people to 29,693 </w:t>
      </w:r>
      <w:r w:rsidR="00B5243D" w:rsidRPr="00B5243D">
        <w:t>people</w:t>
      </w:r>
    </w:p>
    <w:p w14:paraId="207DEA31" w14:textId="29519A1C" w:rsidR="0023073B" w:rsidRDefault="002410D2" w:rsidP="00B52910">
      <w:pPr>
        <w:pStyle w:val="ListParagraph"/>
        <w:numPr>
          <w:ilvl w:val="0"/>
          <w:numId w:val="5"/>
        </w:numPr>
      </w:pPr>
      <w:r>
        <w:t>p</w:t>
      </w:r>
      <w:r w:rsidR="00B5243D">
        <w:t xml:space="preserve">eople aged 85 years and over will increase by 37% </w:t>
      </w:r>
      <w:r w:rsidR="008F457B">
        <w:t>or</w:t>
      </w:r>
      <w:r w:rsidR="00B5243D">
        <w:t xml:space="preserve"> 1,174 people </w:t>
      </w:r>
      <w:r w:rsidR="008F457B">
        <w:t>to 4,319 people.</w:t>
      </w:r>
    </w:p>
    <w:p w14:paraId="0404A3F2" w14:textId="7463E85F" w:rsidR="00283A98" w:rsidRDefault="00283A98" w:rsidP="00283A98">
      <w:r w:rsidRPr="00CB6444">
        <w:t xml:space="preserve">The Inner West’s older population remains balanced across men and women </w:t>
      </w:r>
      <w:r w:rsidR="00A87C8D">
        <w:t>until</w:t>
      </w:r>
      <w:r w:rsidRPr="00CB6444">
        <w:t xml:space="preserve"> the age of 85 where women begin to outnumber men. By the age of 85 and over, women make up 63% of the group while men make up 37%.</w:t>
      </w:r>
    </w:p>
    <w:p w14:paraId="71018EF4" w14:textId="2024E255" w:rsidR="005F5401" w:rsidRPr="00CB6444" w:rsidRDefault="003743C0" w:rsidP="00DC612C">
      <w:r>
        <w:t>Table 2: Future population projections</w:t>
      </w:r>
    </w:p>
    <w:tbl>
      <w:tblPr>
        <w:tblStyle w:val="TableGrid1"/>
        <w:tblW w:w="949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71"/>
        <w:gridCol w:w="906"/>
        <w:gridCol w:w="2074"/>
        <w:gridCol w:w="948"/>
        <w:gridCol w:w="2029"/>
        <w:gridCol w:w="1467"/>
      </w:tblGrid>
      <w:tr w:rsidR="00AB1BC1" w:rsidRPr="00AB1BC1" w14:paraId="49A56BFC" w14:textId="77777777" w:rsidTr="009F6A91">
        <w:tc>
          <w:tcPr>
            <w:tcW w:w="2977" w:type="dxa"/>
            <w:gridSpan w:val="2"/>
          </w:tcPr>
          <w:p w14:paraId="12A03813" w14:textId="77777777" w:rsidR="00AB1BC1" w:rsidRPr="00AB1BC1" w:rsidRDefault="00AB1BC1" w:rsidP="00AB1BC1">
            <w:pPr>
              <w:jc w:val="center"/>
            </w:pPr>
            <w:r w:rsidRPr="00AB1BC1">
              <w:t>2016</w:t>
            </w:r>
          </w:p>
        </w:tc>
        <w:tc>
          <w:tcPr>
            <w:tcW w:w="3022" w:type="dxa"/>
            <w:gridSpan w:val="2"/>
          </w:tcPr>
          <w:p w14:paraId="2793FE74" w14:textId="77777777" w:rsidR="00AB1BC1" w:rsidRPr="00AB1BC1" w:rsidRDefault="00AB1BC1" w:rsidP="00AB1BC1">
            <w:pPr>
              <w:jc w:val="center"/>
            </w:pPr>
            <w:r w:rsidRPr="00AB1BC1">
              <w:t>2016 to 2026</w:t>
            </w:r>
          </w:p>
        </w:tc>
        <w:tc>
          <w:tcPr>
            <w:tcW w:w="3496" w:type="dxa"/>
            <w:gridSpan w:val="2"/>
          </w:tcPr>
          <w:p w14:paraId="739581E7" w14:textId="77777777" w:rsidR="00AB1BC1" w:rsidRPr="00AB1BC1" w:rsidRDefault="00AB1BC1" w:rsidP="00AB1BC1">
            <w:pPr>
              <w:jc w:val="center"/>
            </w:pPr>
            <w:r w:rsidRPr="00AB1BC1">
              <w:t>2016 to 2036</w:t>
            </w:r>
          </w:p>
        </w:tc>
      </w:tr>
      <w:tr w:rsidR="00AB1BC1" w:rsidRPr="00AB1BC1" w14:paraId="78B9ABAB" w14:textId="77777777" w:rsidTr="009F6A91">
        <w:tc>
          <w:tcPr>
            <w:tcW w:w="2977" w:type="dxa"/>
            <w:gridSpan w:val="2"/>
          </w:tcPr>
          <w:p w14:paraId="6A2C8021" w14:textId="77777777" w:rsidR="00AB1BC1" w:rsidRPr="00AB1BC1" w:rsidRDefault="00AB1BC1" w:rsidP="00AB1BC1">
            <w:pPr>
              <w:jc w:val="center"/>
            </w:pPr>
            <w:r w:rsidRPr="00AB1BC1">
              <w:rPr>
                <w:noProof/>
              </w:rPr>
              <w:drawing>
                <wp:inline distT="0" distB="0" distL="0" distR="0" wp14:anchorId="26F28AC0" wp14:editId="41C1A544">
                  <wp:extent cx="1673364" cy="2383276"/>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022" w:type="dxa"/>
            <w:gridSpan w:val="2"/>
          </w:tcPr>
          <w:p w14:paraId="483C6D2C" w14:textId="77777777" w:rsidR="00AB1BC1" w:rsidRPr="00AB1BC1" w:rsidRDefault="00AB1BC1" w:rsidP="00AB1BC1">
            <w:pPr>
              <w:jc w:val="center"/>
            </w:pPr>
            <w:r w:rsidRPr="00AB1BC1">
              <w:rPr>
                <w:noProof/>
              </w:rPr>
              <w:drawing>
                <wp:inline distT="0" distB="0" distL="0" distR="0" wp14:anchorId="3CEE006A" wp14:editId="1192ACC4">
                  <wp:extent cx="1712068" cy="2386518"/>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B1BC1">
              <w:rPr>
                <w:noProof/>
                <w:lang w:eastAsia="en-AU"/>
              </w:rPr>
              <mc:AlternateContent>
                <mc:Choice Requires="wps">
                  <w:drawing>
                    <wp:anchor distT="0" distB="0" distL="114300" distR="114300" simplePos="0" relativeHeight="251661312" behindDoc="0" locked="0" layoutInCell="1" allowOverlap="1" wp14:anchorId="42FA8EE7" wp14:editId="21491A7F">
                      <wp:simplePos x="0" y="0"/>
                      <wp:positionH relativeFrom="column">
                        <wp:posOffset>359045</wp:posOffset>
                      </wp:positionH>
                      <wp:positionV relativeFrom="paragraph">
                        <wp:posOffset>1931035</wp:posOffset>
                      </wp:positionV>
                      <wp:extent cx="252730" cy="3028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02895"/>
                              </a:xfrm>
                              <a:prstGeom prst="rect">
                                <a:avLst/>
                              </a:prstGeom>
                              <a:noFill/>
                              <a:ln w="9525">
                                <a:noFill/>
                                <a:miter lim="800000"/>
                                <a:headEnd/>
                                <a:tailEnd/>
                              </a:ln>
                            </wps:spPr>
                            <wps:txbx>
                              <w:txbxContent>
                                <w:p w14:paraId="2AC4F5F3" w14:textId="77777777" w:rsidR="007B7D31" w:rsidRPr="00C9613A" w:rsidRDefault="007B7D31" w:rsidP="00AB1BC1">
                                  <w:pPr>
                                    <w:rPr>
                                      <w:b/>
                                      <w:color w:val="FFFFFF" w:themeColor="background1"/>
                                      <w:sz w:val="16"/>
                                      <w:szCs w:val="16"/>
                                    </w:rPr>
                                  </w:pPr>
                                  <w:r w:rsidRPr="00C9613A">
                                    <w:rPr>
                                      <w:b/>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A8EE7" id="_x0000_t202" coordsize="21600,21600" o:spt="202" path="m,l,21600r21600,l21600,xe">
                      <v:stroke joinstyle="miter"/>
                      <v:path gradientshapeok="t" o:connecttype="rect"/>
                    </v:shapetype>
                    <v:shape id="Text Box 2" o:spid="_x0000_s1026" type="#_x0000_t202" style="position:absolute;left:0;text-align:left;margin-left:28.25pt;margin-top:152.05pt;width:19.9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rjCQIAAPE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" filled="f" stroked="f">
                      <v:textbox>
                        <w:txbxContent>
                          <w:p w14:paraId="2AC4F5F3" w14:textId="77777777" w:rsidR="007B7D31" w:rsidRPr="00C9613A" w:rsidRDefault="007B7D31" w:rsidP="00AB1BC1">
                            <w:pPr>
                              <w:rPr>
                                <w:b/>
                                <w:color w:val="FFFFFF" w:themeColor="background1"/>
                                <w:sz w:val="16"/>
                                <w:szCs w:val="16"/>
                              </w:rPr>
                            </w:pPr>
                            <w:r w:rsidRPr="00C9613A">
                              <w:rPr>
                                <w:b/>
                                <w:color w:val="FFFFFF" w:themeColor="background1"/>
                                <w:sz w:val="16"/>
                                <w:szCs w:val="16"/>
                              </w:rPr>
                              <w:t>+</w:t>
                            </w:r>
                          </w:p>
                        </w:txbxContent>
                      </v:textbox>
                    </v:shape>
                  </w:pict>
                </mc:Fallback>
              </mc:AlternateContent>
            </w:r>
          </w:p>
        </w:tc>
        <w:tc>
          <w:tcPr>
            <w:tcW w:w="3496" w:type="dxa"/>
            <w:gridSpan w:val="2"/>
          </w:tcPr>
          <w:p w14:paraId="5134FC23" w14:textId="77777777" w:rsidR="00AB1BC1" w:rsidRPr="00AB1BC1" w:rsidRDefault="00AB1BC1" w:rsidP="00AB1BC1">
            <w:pPr>
              <w:jc w:val="center"/>
            </w:pPr>
            <w:r w:rsidRPr="00AB1BC1">
              <w:rPr>
                <w:noProof/>
              </w:rPr>
              <w:drawing>
                <wp:inline distT="0" distB="0" distL="0" distR="0" wp14:anchorId="0C8A472B" wp14:editId="2FD8E59C">
                  <wp:extent cx="1713075" cy="2390775"/>
                  <wp:effectExtent l="0" t="0" r="19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B1BC1" w:rsidRPr="00AB1BC1" w14:paraId="6DCF1E92" w14:textId="77777777" w:rsidTr="009F6A91">
        <w:tc>
          <w:tcPr>
            <w:tcW w:w="2977" w:type="dxa"/>
            <w:gridSpan w:val="2"/>
          </w:tcPr>
          <w:p w14:paraId="05FBC0FA" w14:textId="77777777" w:rsidR="00AB1BC1" w:rsidRPr="00AB1BC1" w:rsidRDefault="00AB1BC1" w:rsidP="00AB1BC1">
            <w:pPr>
              <w:jc w:val="center"/>
              <w:rPr>
                <w:sz w:val="20"/>
                <w:szCs w:val="20"/>
              </w:rPr>
            </w:pPr>
            <w:r w:rsidRPr="00AB1BC1">
              <w:rPr>
                <w:sz w:val="20"/>
                <w:szCs w:val="20"/>
              </w:rPr>
              <w:t>2016 population data</w:t>
            </w:r>
          </w:p>
        </w:tc>
        <w:tc>
          <w:tcPr>
            <w:tcW w:w="3022" w:type="dxa"/>
            <w:gridSpan w:val="2"/>
          </w:tcPr>
          <w:p w14:paraId="2626E20E" w14:textId="77777777" w:rsidR="00AB1BC1" w:rsidRPr="00AB1BC1" w:rsidRDefault="00AB1BC1" w:rsidP="00AB1BC1">
            <w:pPr>
              <w:jc w:val="center"/>
              <w:rPr>
                <w:noProof/>
                <w:sz w:val="20"/>
                <w:szCs w:val="20"/>
                <w:lang w:eastAsia="en-AU"/>
              </w:rPr>
            </w:pPr>
            <w:r w:rsidRPr="00AB1BC1">
              <w:rPr>
                <w:sz w:val="20"/>
                <w:szCs w:val="20"/>
              </w:rPr>
              <w:t>2026 population projections</w:t>
            </w:r>
          </w:p>
        </w:tc>
        <w:tc>
          <w:tcPr>
            <w:tcW w:w="3496" w:type="dxa"/>
            <w:gridSpan w:val="2"/>
          </w:tcPr>
          <w:p w14:paraId="3CBB0582" w14:textId="77777777" w:rsidR="00AB1BC1" w:rsidRPr="00AB1BC1" w:rsidRDefault="00AB1BC1" w:rsidP="00AB1BC1">
            <w:pPr>
              <w:jc w:val="center"/>
              <w:rPr>
                <w:noProof/>
                <w:sz w:val="20"/>
                <w:szCs w:val="20"/>
                <w:lang w:eastAsia="en-AU"/>
              </w:rPr>
            </w:pPr>
            <w:r w:rsidRPr="00AB1BC1">
              <w:rPr>
                <w:sz w:val="20"/>
                <w:szCs w:val="20"/>
              </w:rPr>
              <w:t>2036 population projections</w:t>
            </w:r>
          </w:p>
        </w:tc>
      </w:tr>
      <w:tr w:rsidR="00AB1BC1" w:rsidRPr="00AB1BC1" w14:paraId="57A23D06" w14:textId="77777777" w:rsidTr="009F6A91">
        <w:tc>
          <w:tcPr>
            <w:tcW w:w="2071" w:type="dxa"/>
            <w:vAlign w:val="center"/>
          </w:tcPr>
          <w:p w14:paraId="3DD4B8C8" w14:textId="77777777" w:rsidR="00AB1BC1" w:rsidRPr="00AB1BC1" w:rsidRDefault="00AB1BC1" w:rsidP="00AB1BC1">
            <w:pPr>
              <w:rPr>
                <w:sz w:val="20"/>
                <w:szCs w:val="20"/>
              </w:rPr>
            </w:pPr>
            <w:r w:rsidRPr="00AB1BC1">
              <w:rPr>
                <w:sz w:val="20"/>
                <w:szCs w:val="20"/>
              </w:rPr>
              <w:t>50-59 years</w:t>
            </w:r>
          </w:p>
        </w:tc>
        <w:tc>
          <w:tcPr>
            <w:tcW w:w="906" w:type="dxa"/>
            <w:vAlign w:val="center"/>
          </w:tcPr>
          <w:p w14:paraId="24C1A04F" w14:textId="77777777" w:rsidR="00AB1BC1" w:rsidRPr="00AB1BC1" w:rsidRDefault="00AB1BC1" w:rsidP="00AB1BC1">
            <w:pPr>
              <w:jc w:val="center"/>
              <w:rPr>
                <w:sz w:val="20"/>
                <w:szCs w:val="20"/>
              </w:rPr>
            </w:pPr>
            <w:r w:rsidRPr="00AB1BC1">
              <w:rPr>
                <w:sz w:val="20"/>
                <w:szCs w:val="20"/>
              </w:rPr>
              <w:t>22,659 (12%)</w:t>
            </w:r>
          </w:p>
        </w:tc>
        <w:tc>
          <w:tcPr>
            <w:tcW w:w="2074" w:type="dxa"/>
            <w:vAlign w:val="center"/>
          </w:tcPr>
          <w:p w14:paraId="332FAD66" w14:textId="77777777" w:rsidR="00AB1BC1" w:rsidRPr="00AB1BC1" w:rsidRDefault="00AB1BC1" w:rsidP="00AB1BC1">
            <w:pPr>
              <w:rPr>
                <w:sz w:val="20"/>
                <w:szCs w:val="20"/>
              </w:rPr>
            </w:pPr>
            <w:r w:rsidRPr="00AB1BC1">
              <w:rPr>
                <w:sz w:val="20"/>
                <w:szCs w:val="20"/>
              </w:rPr>
              <w:t>50-59 years</w:t>
            </w:r>
          </w:p>
        </w:tc>
        <w:tc>
          <w:tcPr>
            <w:tcW w:w="948" w:type="dxa"/>
            <w:vAlign w:val="center"/>
          </w:tcPr>
          <w:p w14:paraId="471BEC75" w14:textId="77777777" w:rsidR="00AB1BC1" w:rsidRPr="00AB1BC1" w:rsidRDefault="00AB1BC1" w:rsidP="00AB1BC1">
            <w:pPr>
              <w:jc w:val="center"/>
              <w:rPr>
                <w:noProof/>
                <w:sz w:val="20"/>
                <w:szCs w:val="20"/>
                <w:lang w:eastAsia="en-AU"/>
              </w:rPr>
            </w:pPr>
            <w:r w:rsidRPr="00AB1BC1">
              <w:rPr>
                <w:noProof/>
                <w:sz w:val="20"/>
                <w:szCs w:val="20"/>
                <w:lang w:eastAsia="en-AU"/>
              </w:rPr>
              <w:t>24,858</w:t>
            </w:r>
          </w:p>
          <w:p w14:paraId="154B2C82" w14:textId="77777777" w:rsidR="00AB1BC1" w:rsidRPr="00AB1BC1" w:rsidRDefault="00AB1BC1" w:rsidP="00AB1BC1">
            <w:pPr>
              <w:jc w:val="center"/>
              <w:rPr>
                <w:noProof/>
                <w:sz w:val="20"/>
                <w:szCs w:val="20"/>
                <w:lang w:eastAsia="en-AU"/>
              </w:rPr>
            </w:pPr>
            <w:r w:rsidRPr="00AB1BC1">
              <w:rPr>
                <w:noProof/>
                <w:sz w:val="20"/>
                <w:szCs w:val="20"/>
                <w:lang w:eastAsia="en-AU"/>
              </w:rPr>
              <w:t>(11%)</w:t>
            </w:r>
          </w:p>
        </w:tc>
        <w:tc>
          <w:tcPr>
            <w:tcW w:w="2029" w:type="dxa"/>
            <w:vAlign w:val="center"/>
          </w:tcPr>
          <w:p w14:paraId="7FF72F32" w14:textId="77777777" w:rsidR="00AB1BC1" w:rsidRPr="00AB1BC1" w:rsidRDefault="00AB1BC1" w:rsidP="00AB1BC1">
            <w:pPr>
              <w:rPr>
                <w:sz w:val="20"/>
                <w:szCs w:val="20"/>
              </w:rPr>
            </w:pPr>
            <w:r w:rsidRPr="00AB1BC1">
              <w:rPr>
                <w:sz w:val="20"/>
                <w:szCs w:val="20"/>
              </w:rPr>
              <w:t>50-59 years</w:t>
            </w:r>
          </w:p>
        </w:tc>
        <w:tc>
          <w:tcPr>
            <w:tcW w:w="1467" w:type="dxa"/>
            <w:vAlign w:val="center"/>
          </w:tcPr>
          <w:p w14:paraId="48DA854D" w14:textId="77777777" w:rsidR="00AB1BC1" w:rsidRPr="00AB1BC1" w:rsidRDefault="00AB1BC1" w:rsidP="00AB1BC1">
            <w:pPr>
              <w:jc w:val="center"/>
              <w:rPr>
                <w:noProof/>
                <w:sz w:val="20"/>
                <w:szCs w:val="20"/>
                <w:lang w:eastAsia="en-AU"/>
              </w:rPr>
            </w:pPr>
            <w:r w:rsidRPr="00AB1BC1">
              <w:rPr>
                <w:noProof/>
                <w:sz w:val="20"/>
                <w:szCs w:val="20"/>
                <w:lang w:eastAsia="en-AU"/>
              </w:rPr>
              <w:t>26,331</w:t>
            </w:r>
          </w:p>
          <w:p w14:paraId="0238C9CC" w14:textId="77777777" w:rsidR="00AB1BC1" w:rsidRPr="00AB1BC1" w:rsidRDefault="00AB1BC1" w:rsidP="00AB1BC1">
            <w:pPr>
              <w:jc w:val="center"/>
              <w:rPr>
                <w:noProof/>
                <w:sz w:val="20"/>
                <w:szCs w:val="20"/>
                <w:lang w:eastAsia="en-AU"/>
              </w:rPr>
            </w:pPr>
            <w:r w:rsidRPr="00AB1BC1">
              <w:rPr>
                <w:noProof/>
                <w:sz w:val="20"/>
                <w:szCs w:val="20"/>
                <w:lang w:eastAsia="en-AU"/>
              </w:rPr>
              <w:t>(12%)</w:t>
            </w:r>
          </w:p>
        </w:tc>
      </w:tr>
      <w:tr w:rsidR="00AB1BC1" w:rsidRPr="00AB1BC1" w14:paraId="5E29EA2E" w14:textId="77777777" w:rsidTr="009F6A91">
        <w:tc>
          <w:tcPr>
            <w:tcW w:w="2071" w:type="dxa"/>
            <w:vAlign w:val="center"/>
          </w:tcPr>
          <w:p w14:paraId="060BE594" w14:textId="77777777" w:rsidR="00AB1BC1" w:rsidRPr="00AB1BC1" w:rsidRDefault="00AB1BC1" w:rsidP="00AB1BC1">
            <w:pPr>
              <w:rPr>
                <w:sz w:val="20"/>
                <w:szCs w:val="20"/>
              </w:rPr>
            </w:pPr>
            <w:r w:rsidRPr="00AB1BC1">
              <w:rPr>
                <w:sz w:val="20"/>
                <w:szCs w:val="20"/>
              </w:rPr>
              <w:t>60-69 years</w:t>
            </w:r>
          </w:p>
        </w:tc>
        <w:tc>
          <w:tcPr>
            <w:tcW w:w="906" w:type="dxa"/>
            <w:vAlign w:val="center"/>
          </w:tcPr>
          <w:p w14:paraId="11731372" w14:textId="77777777" w:rsidR="00AB1BC1" w:rsidRPr="00AB1BC1" w:rsidRDefault="00AB1BC1" w:rsidP="00AB1BC1">
            <w:pPr>
              <w:jc w:val="center"/>
              <w:rPr>
                <w:sz w:val="20"/>
                <w:szCs w:val="20"/>
              </w:rPr>
            </w:pPr>
            <w:r w:rsidRPr="00AB1BC1">
              <w:rPr>
                <w:sz w:val="20"/>
                <w:szCs w:val="20"/>
              </w:rPr>
              <w:t>16,437</w:t>
            </w:r>
          </w:p>
          <w:p w14:paraId="06BDA421" w14:textId="77777777" w:rsidR="00AB1BC1" w:rsidRPr="00AB1BC1" w:rsidRDefault="00AB1BC1" w:rsidP="00AB1BC1">
            <w:pPr>
              <w:jc w:val="center"/>
              <w:rPr>
                <w:sz w:val="20"/>
                <w:szCs w:val="20"/>
              </w:rPr>
            </w:pPr>
            <w:r w:rsidRPr="00AB1BC1">
              <w:rPr>
                <w:sz w:val="20"/>
                <w:szCs w:val="20"/>
              </w:rPr>
              <w:t>(9%)</w:t>
            </w:r>
          </w:p>
        </w:tc>
        <w:tc>
          <w:tcPr>
            <w:tcW w:w="2074" w:type="dxa"/>
            <w:vAlign w:val="center"/>
          </w:tcPr>
          <w:p w14:paraId="344E43CE" w14:textId="77777777" w:rsidR="00AB1BC1" w:rsidRPr="00AB1BC1" w:rsidRDefault="00AB1BC1" w:rsidP="00AB1BC1">
            <w:pPr>
              <w:rPr>
                <w:sz w:val="20"/>
                <w:szCs w:val="20"/>
              </w:rPr>
            </w:pPr>
            <w:r w:rsidRPr="00AB1BC1">
              <w:rPr>
                <w:sz w:val="20"/>
                <w:szCs w:val="20"/>
              </w:rPr>
              <w:t>60-69 years</w:t>
            </w:r>
          </w:p>
        </w:tc>
        <w:tc>
          <w:tcPr>
            <w:tcW w:w="948" w:type="dxa"/>
            <w:vAlign w:val="center"/>
          </w:tcPr>
          <w:p w14:paraId="398C0A0E" w14:textId="77777777" w:rsidR="00AB1BC1" w:rsidRPr="00AB1BC1" w:rsidRDefault="00AB1BC1" w:rsidP="00AB1BC1">
            <w:pPr>
              <w:jc w:val="center"/>
              <w:rPr>
                <w:noProof/>
                <w:sz w:val="20"/>
                <w:szCs w:val="20"/>
                <w:lang w:eastAsia="en-AU"/>
              </w:rPr>
            </w:pPr>
            <w:r w:rsidRPr="00AB1BC1">
              <w:rPr>
                <w:noProof/>
                <w:sz w:val="20"/>
                <w:szCs w:val="20"/>
                <w:lang w:eastAsia="en-AU"/>
              </w:rPr>
              <w:t>18,419</w:t>
            </w:r>
          </w:p>
          <w:p w14:paraId="4C6A9B38" w14:textId="77777777" w:rsidR="00AB1BC1" w:rsidRPr="00AB1BC1" w:rsidRDefault="00AB1BC1" w:rsidP="00AB1BC1">
            <w:pPr>
              <w:jc w:val="center"/>
              <w:rPr>
                <w:noProof/>
                <w:sz w:val="20"/>
                <w:szCs w:val="20"/>
                <w:lang w:eastAsia="en-AU"/>
              </w:rPr>
            </w:pPr>
            <w:r w:rsidRPr="00AB1BC1">
              <w:rPr>
                <w:noProof/>
                <w:sz w:val="20"/>
                <w:szCs w:val="20"/>
                <w:lang w:eastAsia="en-AU"/>
              </w:rPr>
              <w:t>(9%)</w:t>
            </w:r>
          </w:p>
        </w:tc>
        <w:tc>
          <w:tcPr>
            <w:tcW w:w="2029" w:type="dxa"/>
            <w:vAlign w:val="center"/>
          </w:tcPr>
          <w:p w14:paraId="30D18EE8" w14:textId="77777777" w:rsidR="00AB1BC1" w:rsidRPr="00AB1BC1" w:rsidRDefault="00AB1BC1" w:rsidP="00AB1BC1">
            <w:pPr>
              <w:rPr>
                <w:sz w:val="20"/>
                <w:szCs w:val="20"/>
              </w:rPr>
            </w:pPr>
            <w:r w:rsidRPr="00AB1BC1">
              <w:rPr>
                <w:sz w:val="20"/>
                <w:szCs w:val="20"/>
              </w:rPr>
              <w:t>60-69 years</w:t>
            </w:r>
          </w:p>
        </w:tc>
        <w:tc>
          <w:tcPr>
            <w:tcW w:w="1467" w:type="dxa"/>
            <w:vAlign w:val="center"/>
          </w:tcPr>
          <w:p w14:paraId="726432C5" w14:textId="77777777" w:rsidR="00AB1BC1" w:rsidRPr="00AB1BC1" w:rsidRDefault="00AB1BC1" w:rsidP="00AB1BC1">
            <w:pPr>
              <w:jc w:val="center"/>
              <w:rPr>
                <w:noProof/>
                <w:sz w:val="20"/>
                <w:szCs w:val="20"/>
                <w:lang w:eastAsia="en-AU"/>
              </w:rPr>
            </w:pPr>
            <w:r w:rsidRPr="00AB1BC1">
              <w:rPr>
                <w:noProof/>
                <w:sz w:val="20"/>
                <w:szCs w:val="20"/>
                <w:lang w:eastAsia="en-AU"/>
              </w:rPr>
              <w:t>20,032</w:t>
            </w:r>
          </w:p>
          <w:p w14:paraId="08FC9D44" w14:textId="77777777" w:rsidR="00AB1BC1" w:rsidRPr="00AB1BC1" w:rsidRDefault="00AB1BC1" w:rsidP="00AB1BC1">
            <w:pPr>
              <w:jc w:val="center"/>
              <w:rPr>
                <w:noProof/>
                <w:sz w:val="20"/>
                <w:szCs w:val="20"/>
                <w:lang w:eastAsia="en-AU"/>
              </w:rPr>
            </w:pPr>
            <w:r w:rsidRPr="00AB1BC1">
              <w:rPr>
                <w:noProof/>
                <w:sz w:val="20"/>
                <w:szCs w:val="20"/>
                <w:lang w:eastAsia="en-AU"/>
              </w:rPr>
              <w:t>(9%)</w:t>
            </w:r>
          </w:p>
        </w:tc>
      </w:tr>
      <w:tr w:rsidR="00AB1BC1" w:rsidRPr="00AB1BC1" w14:paraId="5D425475" w14:textId="77777777" w:rsidTr="009F6A91">
        <w:tc>
          <w:tcPr>
            <w:tcW w:w="2071" w:type="dxa"/>
            <w:vAlign w:val="center"/>
          </w:tcPr>
          <w:p w14:paraId="0909D48F" w14:textId="77777777" w:rsidR="00AB1BC1" w:rsidRPr="00AB1BC1" w:rsidRDefault="00AB1BC1" w:rsidP="00AB1BC1">
            <w:pPr>
              <w:rPr>
                <w:sz w:val="20"/>
                <w:szCs w:val="20"/>
              </w:rPr>
            </w:pPr>
            <w:r w:rsidRPr="00AB1BC1">
              <w:rPr>
                <w:sz w:val="20"/>
                <w:szCs w:val="20"/>
              </w:rPr>
              <w:t>70-84 years</w:t>
            </w:r>
          </w:p>
        </w:tc>
        <w:tc>
          <w:tcPr>
            <w:tcW w:w="906" w:type="dxa"/>
            <w:vAlign w:val="center"/>
          </w:tcPr>
          <w:p w14:paraId="592C305D" w14:textId="77777777" w:rsidR="00AB1BC1" w:rsidRPr="00AB1BC1" w:rsidRDefault="00AB1BC1" w:rsidP="00AB1BC1">
            <w:pPr>
              <w:jc w:val="center"/>
              <w:rPr>
                <w:sz w:val="20"/>
                <w:szCs w:val="20"/>
              </w:rPr>
            </w:pPr>
            <w:r w:rsidRPr="00AB1BC1">
              <w:rPr>
                <w:sz w:val="20"/>
                <w:szCs w:val="20"/>
              </w:rPr>
              <w:t>12,387</w:t>
            </w:r>
          </w:p>
          <w:p w14:paraId="0F484564" w14:textId="77777777" w:rsidR="00AB1BC1" w:rsidRPr="00AB1BC1" w:rsidRDefault="00AB1BC1" w:rsidP="00AB1BC1">
            <w:pPr>
              <w:jc w:val="center"/>
              <w:rPr>
                <w:sz w:val="20"/>
                <w:szCs w:val="20"/>
              </w:rPr>
            </w:pPr>
            <w:r w:rsidRPr="00AB1BC1">
              <w:rPr>
                <w:sz w:val="20"/>
                <w:szCs w:val="20"/>
              </w:rPr>
              <w:t>(7%)</w:t>
            </w:r>
          </w:p>
        </w:tc>
        <w:tc>
          <w:tcPr>
            <w:tcW w:w="2074" w:type="dxa"/>
            <w:vAlign w:val="center"/>
          </w:tcPr>
          <w:p w14:paraId="629ACC7E" w14:textId="77777777" w:rsidR="00AB1BC1" w:rsidRPr="00AB1BC1" w:rsidRDefault="00AB1BC1" w:rsidP="00AB1BC1">
            <w:pPr>
              <w:rPr>
                <w:sz w:val="20"/>
                <w:szCs w:val="20"/>
              </w:rPr>
            </w:pPr>
            <w:r w:rsidRPr="00AB1BC1">
              <w:rPr>
                <w:sz w:val="20"/>
                <w:szCs w:val="20"/>
              </w:rPr>
              <w:t>70-84 years</w:t>
            </w:r>
          </w:p>
        </w:tc>
        <w:tc>
          <w:tcPr>
            <w:tcW w:w="948" w:type="dxa"/>
            <w:vAlign w:val="center"/>
          </w:tcPr>
          <w:p w14:paraId="67A3DC55" w14:textId="77777777" w:rsidR="00AB1BC1" w:rsidRPr="00AB1BC1" w:rsidRDefault="00AB1BC1" w:rsidP="00AB1BC1">
            <w:pPr>
              <w:jc w:val="center"/>
              <w:rPr>
                <w:noProof/>
                <w:sz w:val="20"/>
                <w:szCs w:val="20"/>
                <w:lang w:eastAsia="en-AU"/>
              </w:rPr>
            </w:pPr>
            <w:r w:rsidRPr="00AB1BC1">
              <w:rPr>
                <w:noProof/>
                <w:sz w:val="20"/>
                <w:szCs w:val="20"/>
                <w:lang w:eastAsia="en-AU"/>
              </w:rPr>
              <w:t>16,960</w:t>
            </w:r>
          </w:p>
          <w:p w14:paraId="14488B90" w14:textId="77777777" w:rsidR="00AB1BC1" w:rsidRPr="00AB1BC1" w:rsidRDefault="00AB1BC1" w:rsidP="00AB1BC1">
            <w:pPr>
              <w:jc w:val="center"/>
              <w:rPr>
                <w:noProof/>
                <w:sz w:val="20"/>
                <w:szCs w:val="20"/>
                <w:lang w:eastAsia="en-AU"/>
              </w:rPr>
            </w:pPr>
            <w:r w:rsidRPr="00AB1BC1">
              <w:rPr>
                <w:noProof/>
                <w:sz w:val="20"/>
                <w:szCs w:val="20"/>
                <w:lang w:eastAsia="en-AU"/>
              </w:rPr>
              <w:t>(5%)</w:t>
            </w:r>
          </w:p>
        </w:tc>
        <w:tc>
          <w:tcPr>
            <w:tcW w:w="2029" w:type="dxa"/>
            <w:vAlign w:val="center"/>
          </w:tcPr>
          <w:p w14:paraId="3E1ECF41" w14:textId="77777777" w:rsidR="00AB1BC1" w:rsidRPr="00AB1BC1" w:rsidRDefault="00AB1BC1" w:rsidP="00AB1BC1">
            <w:pPr>
              <w:rPr>
                <w:sz w:val="20"/>
                <w:szCs w:val="20"/>
              </w:rPr>
            </w:pPr>
            <w:r w:rsidRPr="00AB1BC1">
              <w:rPr>
                <w:sz w:val="20"/>
                <w:szCs w:val="20"/>
              </w:rPr>
              <w:t>70-84 years</w:t>
            </w:r>
          </w:p>
        </w:tc>
        <w:tc>
          <w:tcPr>
            <w:tcW w:w="1467" w:type="dxa"/>
            <w:vAlign w:val="center"/>
          </w:tcPr>
          <w:p w14:paraId="3F01D671" w14:textId="77777777" w:rsidR="00AB1BC1" w:rsidRPr="00AB1BC1" w:rsidRDefault="00AB1BC1" w:rsidP="00AB1BC1">
            <w:pPr>
              <w:jc w:val="center"/>
              <w:rPr>
                <w:noProof/>
                <w:sz w:val="20"/>
                <w:szCs w:val="20"/>
                <w:lang w:eastAsia="en-AU"/>
              </w:rPr>
            </w:pPr>
            <w:r w:rsidRPr="00AB1BC1">
              <w:rPr>
                <w:noProof/>
                <w:sz w:val="20"/>
                <w:szCs w:val="20"/>
                <w:lang w:eastAsia="en-AU"/>
              </w:rPr>
              <w:t>20,113</w:t>
            </w:r>
          </w:p>
          <w:p w14:paraId="448C811F" w14:textId="77777777" w:rsidR="00AB1BC1" w:rsidRPr="00AB1BC1" w:rsidRDefault="00AB1BC1" w:rsidP="00AB1BC1">
            <w:pPr>
              <w:jc w:val="center"/>
              <w:rPr>
                <w:noProof/>
                <w:sz w:val="20"/>
                <w:szCs w:val="20"/>
                <w:lang w:eastAsia="en-AU"/>
              </w:rPr>
            </w:pPr>
            <w:r w:rsidRPr="00AB1BC1">
              <w:rPr>
                <w:noProof/>
                <w:sz w:val="20"/>
                <w:szCs w:val="20"/>
                <w:lang w:eastAsia="en-AU"/>
              </w:rPr>
              <w:t>(9%)</w:t>
            </w:r>
          </w:p>
        </w:tc>
      </w:tr>
      <w:tr w:rsidR="00AB1BC1" w:rsidRPr="00AB1BC1" w14:paraId="414248E0" w14:textId="77777777" w:rsidTr="009F6A91">
        <w:tc>
          <w:tcPr>
            <w:tcW w:w="2071" w:type="dxa"/>
            <w:vAlign w:val="center"/>
          </w:tcPr>
          <w:p w14:paraId="54AEF04F" w14:textId="77777777" w:rsidR="00AB1BC1" w:rsidRPr="00AB1BC1" w:rsidRDefault="00AB1BC1" w:rsidP="00AB1BC1">
            <w:pPr>
              <w:rPr>
                <w:sz w:val="20"/>
                <w:szCs w:val="20"/>
              </w:rPr>
            </w:pPr>
            <w:r w:rsidRPr="00AB1BC1">
              <w:rPr>
                <w:sz w:val="20"/>
                <w:szCs w:val="20"/>
              </w:rPr>
              <w:t>85 years and over</w:t>
            </w:r>
          </w:p>
        </w:tc>
        <w:tc>
          <w:tcPr>
            <w:tcW w:w="906" w:type="dxa"/>
            <w:vAlign w:val="center"/>
          </w:tcPr>
          <w:p w14:paraId="5645DE70" w14:textId="77777777" w:rsidR="00AB1BC1" w:rsidRPr="00AB1BC1" w:rsidRDefault="00AB1BC1" w:rsidP="00AB1BC1">
            <w:pPr>
              <w:jc w:val="center"/>
              <w:rPr>
                <w:sz w:val="20"/>
                <w:szCs w:val="20"/>
              </w:rPr>
            </w:pPr>
            <w:r w:rsidRPr="00AB1BC1">
              <w:rPr>
                <w:sz w:val="20"/>
                <w:szCs w:val="20"/>
              </w:rPr>
              <w:t>3,145</w:t>
            </w:r>
          </w:p>
          <w:p w14:paraId="5173636D" w14:textId="77777777" w:rsidR="00AB1BC1" w:rsidRPr="00AB1BC1" w:rsidRDefault="00AB1BC1" w:rsidP="00AB1BC1">
            <w:pPr>
              <w:jc w:val="center"/>
              <w:rPr>
                <w:sz w:val="20"/>
                <w:szCs w:val="20"/>
              </w:rPr>
            </w:pPr>
            <w:r w:rsidRPr="00AB1BC1">
              <w:rPr>
                <w:sz w:val="20"/>
                <w:szCs w:val="20"/>
              </w:rPr>
              <w:t>(1.6%)</w:t>
            </w:r>
          </w:p>
        </w:tc>
        <w:tc>
          <w:tcPr>
            <w:tcW w:w="2074" w:type="dxa"/>
            <w:vAlign w:val="center"/>
          </w:tcPr>
          <w:p w14:paraId="52BA2649" w14:textId="77777777" w:rsidR="00AB1BC1" w:rsidRPr="00AB1BC1" w:rsidRDefault="00AB1BC1" w:rsidP="00AB1BC1">
            <w:pPr>
              <w:rPr>
                <w:sz w:val="20"/>
                <w:szCs w:val="20"/>
              </w:rPr>
            </w:pPr>
            <w:r w:rsidRPr="00AB1BC1">
              <w:rPr>
                <w:sz w:val="20"/>
                <w:szCs w:val="20"/>
              </w:rPr>
              <w:t>85 years and over</w:t>
            </w:r>
          </w:p>
        </w:tc>
        <w:tc>
          <w:tcPr>
            <w:tcW w:w="948" w:type="dxa"/>
            <w:vAlign w:val="center"/>
          </w:tcPr>
          <w:p w14:paraId="4A5BA89E" w14:textId="77777777" w:rsidR="00AB1BC1" w:rsidRPr="00AB1BC1" w:rsidRDefault="00AB1BC1" w:rsidP="00AB1BC1">
            <w:pPr>
              <w:jc w:val="center"/>
              <w:rPr>
                <w:noProof/>
                <w:sz w:val="20"/>
                <w:szCs w:val="20"/>
                <w:lang w:eastAsia="en-AU"/>
              </w:rPr>
            </w:pPr>
            <w:r w:rsidRPr="00AB1BC1">
              <w:rPr>
                <w:noProof/>
                <w:sz w:val="20"/>
                <w:szCs w:val="20"/>
                <w:lang w:eastAsia="en-AU"/>
              </w:rPr>
              <w:t>4,319</w:t>
            </w:r>
          </w:p>
          <w:p w14:paraId="39609708" w14:textId="77777777" w:rsidR="00AB1BC1" w:rsidRPr="00AB1BC1" w:rsidRDefault="00AB1BC1" w:rsidP="00AB1BC1">
            <w:pPr>
              <w:jc w:val="center"/>
              <w:rPr>
                <w:noProof/>
                <w:sz w:val="20"/>
                <w:szCs w:val="20"/>
                <w:lang w:eastAsia="en-AU"/>
              </w:rPr>
            </w:pPr>
            <w:r w:rsidRPr="00AB1BC1">
              <w:rPr>
                <w:noProof/>
                <w:sz w:val="20"/>
                <w:szCs w:val="20"/>
                <w:lang w:eastAsia="en-AU"/>
              </w:rPr>
              <w:t>(2%)</w:t>
            </w:r>
          </w:p>
        </w:tc>
        <w:tc>
          <w:tcPr>
            <w:tcW w:w="2029" w:type="dxa"/>
            <w:vAlign w:val="center"/>
          </w:tcPr>
          <w:p w14:paraId="498EDB62" w14:textId="77777777" w:rsidR="00AB1BC1" w:rsidRPr="00AB1BC1" w:rsidRDefault="00AB1BC1" w:rsidP="00AB1BC1">
            <w:pPr>
              <w:rPr>
                <w:sz w:val="20"/>
                <w:szCs w:val="20"/>
              </w:rPr>
            </w:pPr>
            <w:r w:rsidRPr="00AB1BC1">
              <w:rPr>
                <w:sz w:val="20"/>
                <w:szCs w:val="20"/>
              </w:rPr>
              <w:t>85 years and over</w:t>
            </w:r>
          </w:p>
        </w:tc>
        <w:tc>
          <w:tcPr>
            <w:tcW w:w="1467" w:type="dxa"/>
            <w:vAlign w:val="center"/>
          </w:tcPr>
          <w:p w14:paraId="08831167" w14:textId="77777777" w:rsidR="00AB1BC1" w:rsidRPr="00AB1BC1" w:rsidRDefault="00AB1BC1" w:rsidP="00AB1BC1">
            <w:pPr>
              <w:jc w:val="center"/>
              <w:rPr>
                <w:noProof/>
                <w:sz w:val="20"/>
                <w:szCs w:val="20"/>
                <w:lang w:eastAsia="en-AU"/>
              </w:rPr>
            </w:pPr>
            <w:r w:rsidRPr="00AB1BC1">
              <w:rPr>
                <w:noProof/>
                <w:sz w:val="20"/>
                <w:szCs w:val="20"/>
                <w:lang w:eastAsia="en-AU"/>
              </w:rPr>
              <w:t>5,664</w:t>
            </w:r>
          </w:p>
          <w:p w14:paraId="273F44E2" w14:textId="77777777" w:rsidR="00AB1BC1" w:rsidRPr="00AB1BC1" w:rsidRDefault="00AB1BC1" w:rsidP="00AB1BC1">
            <w:pPr>
              <w:jc w:val="center"/>
              <w:rPr>
                <w:noProof/>
                <w:sz w:val="20"/>
                <w:szCs w:val="20"/>
                <w:lang w:eastAsia="en-AU"/>
              </w:rPr>
            </w:pPr>
            <w:r w:rsidRPr="00AB1BC1">
              <w:rPr>
                <w:noProof/>
                <w:sz w:val="20"/>
                <w:szCs w:val="20"/>
                <w:lang w:eastAsia="en-AU"/>
              </w:rPr>
              <w:t>(2.5%)</w:t>
            </w:r>
          </w:p>
        </w:tc>
      </w:tr>
    </w:tbl>
    <w:p w14:paraId="06F0264C" w14:textId="45F9E370" w:rsidR="00283A98" w:rsidRDefault="00283A98" w:rsidP="005F5401"/>
    <w:p w14:paraId="1E971183" w14:textId="79B46608" w:rsidR="00283A98" w:rsidRPr="00CB6444" w:rsidRDefault="00283A98" w:rsidP="007C00D8">
      <w:pPr>
        <w:jc w:val="both"/>
      </w:pPr>
      <w:r>
        <w:t xml:space="preserve">The prevalence of dementia increases with age. </w:t>
      </w:r>
      <w:r w:rsidR="00F8177F">
        <w:t>Dementia Australia reports that t</w:t>
      </w:r>
      <w:r w:rsidRPr="008F457B">
        <w:t>hree in 10 people over the age of 85</w:t>
      </w:r>
      <w:r>
        <w:t>,</w:t>
      </w:r>
      <w:r w:rsidRPr="008F457B">
        <w:t xml:space="preserve"> and almost one in 10 people over 65 have dementia</w:t>
      </w:r>
      <w:r w:rsidR="002410D2">
        <w:t xml:space="preserve"> </w:t>
      </w:r>
      <w:r w:rsidR="00F8177F">
        <w:t>and that d</w:t>
      </w:r>
      <w:r>
        <w:t xml:space="preserve">ementia is now the leading cause of death among women in Australia. It </w:t>
      </w:r>
      <w:r w:rsidR="002410D2">
        <w:t>is projected</w:t>
      </w:r>
      <w:r>
        <w:t xml:space="preserve"> that </w:t>
      </w:r>
      <w:r w:rsidR="00024726">
        <w:t>3,489</w:t>
      </w:r>
      <w:r w:rsidR="00CE7D3E">
        <w:t xml:space="preserve"> people will be living with dementia</w:t>
      </w:r>
      <w:r w:rsidR="002410D2">
        <w:t xml:space="preserve"> in the Inner West</w:t>
      </w:r>
      <w:r w:rsidR="00CE7D3E">
        <w:t xml:space="preserve"> by 2026 </w:t>
      </w:r>
      <w:r w:rsidR="002410D2">
        <w:t xml:space="preserve">climbing to </w:t>
      </w:r>
      <w:r>
        <w:t xml:space="preserve">almost 5,000 </w:t>
      </w:r>
      <w:r w:rsidR="002410D2">
        <w:t>people</w:t>
      </w:r>
      <w:r w:rsidR="002410D2" w:rsidDel="002410D2">
        <w:t xml:space="preserve"> </w:t>
      </w:r>
      <w:r>
        <w:t>by 2036.</w:t>
      </w:r>
    </w:p>
    <w:p w14:paraId="650AAE0D" w14:textId="105F353D" w:rsidR="00853860" w:rsidRPr="00B276B5" w:rsidRDefault="00FE08E2" w:rsidP="000F466A">
      <w:pPr>
        <w:pStyle w:val="Heading1"/>
        <w:rPr>
          <w:rFonts w:ascii="Arial" w:hAnsi="Arial" w:cs="Arial"/>
          <w:color w:val="auto"/>
          <w:sz w:val="22"/>
          <w:szCs w:val="22"/>
        </w:rPr>
      </w:pPr>
      <w:bookmarkStart w:id="8" w:name="_Toc71633296"/>
      <w:r>
        <w:rPr>
          <w:rFonts w:ascii="Arial" w:hAnsi="Arial" w:cs="Arial"/>
          <w:color w:val="auto"/>
          <w:sz w:val="22"/>
          <w:szCs w:val="22"/>
        </w:rPr>
        <w:t>Strategic approach</w:t>
      </w:r>
      <w:bookmarkEnd w:id="8"/>
    </w:p>
    <w:p w14:paraId="6D3769FA" w14:textId="44B021AC" w:rsidR="00FE08E2" w:rsidRPr="005F5401" w:rsidRDefault="00FE08E2" w:rsidP="00FE08E2">
      <w:pPr>
        <w:pStyle w:val="Heading2"/>
        <w:rPr>
          <w:rFonts w:ascii="Arial" w:hAnsi="Arial" w:cs="Arial"/>
          <w:color w:val="auto"/>
          <w:sz w:val="22"/>
          <w:szCs w:val="22"/>
        </w:rPr>
      </w:pPr>
      <w:bookmarkStart w:id="9" w:name="_Toc71633297"/>
      <w:r w:rsidRPr="005F5401">
        <w:rPr>
          <w:rFonts w:ascii="Arial" w:hAnsi="Arial" w:cs="Arial"/>
          <w:color w:val="auto"/>
          <w:sz w:val="22"/>
          <w:szCs w:val="22"/>
        </w:rPr>
        <w:t>Key priorities for Council action</w:t>
      </w:r>
      <w:bookmarkEnd w:id="9"/>
    </w:p>
    <w:p w14:paraId="3FF0DB2A" w14:textId="77777777" w:rsidR="002413E6" w:rsidRDefault="002413E6" w:rsidP="00FE08E2"/>
    <w:p w14:paraId="01E99AFA" w14:textId="4EF3DC71" w:rsidR="00FE08E2" w:rsidRPr="00B276B5" w:rsidRDefault="002413E6" w:rsidP="00FE08E2">
      <w:r>
        <w:t>Through c</w:t>
      </w:r>
      <w:r w:rsidR="00FE08E2" w:rsidRPr="00B276B5">
        <w:t>ommunity engagement</w:t>
      </w:r>
      <w:r>
        <w:t>, the following areas were highlighted</w:t>
      </w:r>
      <w:r w:rsidR="00FE08E2" w:rsidRPr="00B276B5">
        <w:t xml:space="preserve"> </w:t>
      </w:r>
      <w:r w:rsidR="00657544">
        <w:t xml:space="preserve">for </w:t>
      </w:r>
      <w:r w:rsidR="00FE08E2" w:rsidRPr="00B276B5">
        <w:t xml:space="preserve">Council </w:t>
      </w:r>
      <w:r>
        <w:t>to support</w:t>
      </w:r>
      <w:r w:rsidR="00FE08E2">
        <w:t xml:space="preserve"> healthy ageing:</w:t>
      </w:r>
    </w:p>
    <w:p w14:paraId="79EB25BC" w14:textId="7C5CAC6B" w:rsidR="00FE08E2" w:rsidRDefault="002413E6" w:rsidP="00B52910">
      <w:pPr>
        <w:pStyle w:val="ListParagraph"/>
        <w:numPr>
          <w:ilvl w:val="0"/>
          <w:numId w:val="4"/>
        </w:numPr>
      </w:pPr>
      <w:r>
        <w:t>p</w:t>
      </w:r>
      <w:r w:rsidR="00FE08E2" w:rsidRPr="00B276B5">
        <w:t>ublic space and infrastructure for creating a liveable and inclusive community as people age</w:t>
      </w:r>
    </w:p>
    <w:p w14:paraId="4D1390FD" w14:textId="0A4F8F1E" w:rsidR="00FE08E2" w:rsidRPr="00B276B5" w:rsidRDefault="002413E6" w:rsidP="00B52910">
      <w:pPr>
        <w:pStyle w:val="ListParagraph"/>
        <w:numPr>
          <w:ilvl w:val="0"/>
          <w:numId w:val="4"/>
        </w:numPr>
      </w:pPr>
      <w:r>
        <w:t>l</w:t>
      </w:r>
      <w:r w:rsidR="00FE08E2" w:rsidRPr="00B276B5">
        <w:t xml:space="preserve">ighting, </w:t>
      </w:r>
      <w:proofErr w:type="gramStart"/>
      <w:r w:rsidR="00FE08E2" w:rsidRPr="00B276B5">
        <w:t>pathways</w:t>
      </w:r>
      <w:proofErr w:type="gramEnd"/>
      <w:r w:rsidR="00FE08E2" w:rsidRPr="00B276B5">
        <w:t xml:space="preserve"> and green spaces influence how safe the Inner West feels, and in turn perceptions of safety</w:t>
      </w:r>
    </w:p>
    <w:p w14:paraId="02AE15DA" w14:textId="29322A52" w:rsidR="00FE08E2" w:rsidRDefault="002413E6" w:rsidP="00B52910">
      <w:pPr>
        <w:pStyle w:val="ListParagraph"/>
        <w:numPr>
          <w:ilvl w:val="0"/>
          <w:numId w:val="4"/>
        </w:numPr>
      </w:pPr>
      <w:r>
        <w:t>b</w:t>
      </w:r>
      <w:r w:rsidR="00FE08E2">
        <w:t>ecoming a more dementia friendly city</w:t>
      </w:r>
    </w:p>
    <w:p w14:paraId="6B88FACC" w14:textId="048E5D04" w:rsidR="00FE08E2" w:rsidRDefault="002413E6" w:rsidP="00B52910">
      <w:pPr>
        <w:pStyle w:val="ListParagraph"/>
        <w:numPr>
          <w:ilvl w:val="0"/>
          <w:numId w:val="4"/>
        </w:numPr>
      </w:pPr>
      <w:r>
        <w:t>c</w:t>
      </w:r>
      <w:r w:rsidR="00FE08E2">
        <w:t xml:space="preserve">elebrating the diversity of our population and developing responses that meet the specific needs of residents </w:t>
      </w:r>
    </w:p>
    <w:p w14:paraId="010A6392" w14:textId="64931208" w:rsidR="00FE08E2" w:rsidRPr="00B276B5" w:rsidRDefault="002413E6" w:rsidP="00B52910">
      <w:pPr>
        <w:pStyle w:val="ListParagraph"/>
        <w:numPr>
          <w:ilvl w:val="0"/>
          <w:numId w:val="4"/>
        </w:numPr>
      </w:pPr>
      <w:r>
        <w:t>p</w:t>
      </w:r>
      <w:r w:rsidR="00FE08E2" w:rsidRPr="00B276B5">
        <w:t>ublic and community transport to enable participati</w:t>
      </w:r>
      <w:r w:rsidR="00657544">
        <w:t>o</w:t>
      </w:r>
      <w:r w:rsidR="00FE08E2" w:rsidRPr="00B276B5">
        <w:t>n in community life</w:t>
      </w:r>
    </w:p>
    <w:p w14:paraId="069A7B09" w14:textId="7927A3DB" w:rsidR="00FE08E2" w:rsidRPr="00B276B5" w:rsidRDefault="002413E6" w:rsidP="00B52910">
      <w:pPr>
        <w:pStyle w:val="ListParagraph"/>
        <w:numPr>
          <w:ilvl w:val="0"/>
          <w:numId w:val="4"/>
        </w:numPr>
      </w:pPr>
      <w:r>
        <w:t>a</w:t>
      </w:r>
      <w:r w:rsidR="00FE08E2" w:rsidRPr="00B276B5">
        <w:t xml:space="preserve">ccess to secure and stable housing as people retire and get older </w:t>
      </w:r>
    </w:p>
    <w:p w14:paraId="6F6EB513" w14:textId="00C5F86E" w:rsidR="00FE08E2" w:rsidRPr="00B276B5" w:rsidRDefault="002413E6" w:rsidP="00B52910">
      <w:pPr>
        <w:pStyle w:val="ListParagraph"/>
        <w:numPr>
          <w:ilvl w:val="0"/>
          <w:numId w:val="4"/>
        </w:numPr>
      </w:pPr>
      <w:r>
        <w:t>g</w:t>
      </w:r>
      <w:r w:rsidR="00FE08E2" w:rsidRPr="00B276B5">
        <w:t>reater access to opportunities for paid work</w:t>
      </w:r>
      <w:r w:rsidR="00657544">
        <w:t xml:space="preserve">, and </w:t>
      </w:r>
      <w:r w:rsidR="00FE08E2" w:rsidRPr="00B276B5">
        <w:t>volunteering opportunities matched to a person’s skills and interests</w:t>
      </w:r>
    </w:p>
    <w:p w14:paraId="05259712" w14:textId="45D84EC8" w:rsidR="00FE08E2" w:rsidRPr="00B276B5" w:rsidRDefault="002413E6" w:rsidP="00B52910">
      <w:pPr>
        <w:pStyle w:val="ListParagraph"/>
        <w:numPr>
          <w:ilvl w:val="0"/>
          <w:numId w:val="4"/>
        </w:numPr>
      </w:pPr>
      <w:r>
        <w:t>a</w:t>
      </w:r>
      <w:r w:rsidR="00FE08E2" w:rsidRPr="00B276B5">
        <w:t>ccess to information to navigate the different stages of life including financial literacy, care</w:t>
      </w:r>
      <w:r w:rsidR="006D09FA">
        <w:t xml:space="preserve">, </w:t>
      </w:r>
      <w:proofErr w:type="gramStart"/>
      <w:r w:rsidR="006D09FA">
        <w:t>services</w:t>
      </w:r>
      <w:proofErr w:type="gramEnd"/>
      <w:r w:rsidR="006D09FA">
        <w:t xml:space="preserve"> </w:t>
      </w:r>
      <w:r w:rsidR="00FE08E2" w:rsidRPr="00B276B5">
        <w:t>and support.</w:t>
      </w:r>
    </w:p>
    <w:p w14:paraId="0F31CB7B" w14:textId="394A03CF" w:rsidR="004871E0" w:rsidRPr="00B276B5" w:rsidRDefault="006428B6" w:rsidP="005A3A68">
      <w:pPr>
        <w:pStyle w:val="Heading2"/>
        <w:rPr>
          <w:rFonts w:ascii="Arial" w:hAnsi="Arial" w:cs="Arial"/>
          <w:color w:val="auto"/>
          <w:sz w:val="22"/>
          <w:szCs w:val="22"/>
        </w:rPr>
      </w:pPr>
      <w:bookmarkStart w:id="10" w:name="_Toc71633298"/>
      <w:r w:rsidRPr="00B276B5">
        <w:rPr>
          <w:rFonts w:ascii="Arial" w:hAnsi="Arial" w:cs="Arial"/>
          <w:color w:val="auto"/>
          <w:sz w:val="22"/>
          <w:szCs w:val="22"/>
        </w:rPr>
        <w:t>Council’s</w:t>
      </w:r>
      <w:r w:rsidR="004871E0" w:rsidRPr="00B276B5">
        <w:rPr>
          <w:rFonts w:ascii="Arial" w:hAnsi="Arial" w:cs="Arial"/>
          <w:color w:val="auto"/>
          <w:sz w:val="22"/>
          <w:szCs w:val="22"/>
        </w:rPr>
        <w:t xml:space="preserve"> role</w:t>
      </w:r>
      <w:bookmarkEnd w:id="10"/>
    </w:p>
    <w:p w14:paraId="7F93637D" w14:textId="77777777" w:rsidR="002413E6" w:rsidRDefault="002413E6" w:rsidP="00CB6444"/>
    <w:p w14:paraId="47A79DBC" w14:textId="59C0DE9F" w:rsidR="00760BB3" w:rsidRDefault="00760BB3" w:rsidP="007C00D8">
      <w:pPr>
        <w:jc w:val="both"/>
      </w:pPr>
      <w:r>
        <w:t xml:space="preserve">Under the </w:t>
      </w:r>
      <w:r w:rsidRPr="007C00D8">
        <w:rPr>
          <w:i/>
          <w:iCs/>
        </w:rPr>
        <w:t>Local Government Act</w:t>
      </w:r>
      <w:r>
        <w:t xml:space="preserve"> 1993, local councils are required to develop a hierarchy of plans known as the Integrated Planning and Reporting Framework. This framework assists councils in delivering their community’s vision through long, </w:t>
      </w:r>
      <w:proofErr w:type="gramStart"/>
      <w:r>
        <w:t>medium</w:t>
      </w:r>
      <w:proofErr w:type="gramEnd"/>
      <w:r>
        <w:t xml:space="preserve"> and short-term plans. </w:t>
      </w:r>
    </w:p>
    <w:p w14:paraId="04D53457" w14:textId="435D519E" w:rsidR="00760BB3" w:rsidRDefault="00760BB3" w:rsidP="007C00D8">
      <w:pPr>
        <w:jc w:val="both"/>
      </w:pPr>
      <w:r>
        <w:t xml:space="preserve">The Inner West Community Strategic Plan, </w:t>
      </w:r>
      <w:r w:rsidRPr="00760BB3">
        <w:rPr>
          <w:i/>
          <w:iCs/>
        </w:rPr>
        <w:t>Our Inner West 2036</w:t>
      </w:r>
      <w:r>
        <w:t xml:space="preserve">, identifies the community’s vision for the future, long-term goals, and strategies to get there and outlines how Council will measure progress towards that vision. The Plan identifies five strategic directions that support the goals of the community. The Healthy Ageing Strategy aligns closely with Strategic Direction 4: Caring happy healthy communities.  </w:t>
      </w:r>
    </w:p>
    <w:p w14:paraId="66528B09" w14:textId="7528DEA0" w:rsidR="00C114A8" w:rsidRPr="00B276B5" w:rsidRDefault="00C114A8" w:rsidP="00CB6444">
      <w:r w:rsidRPr="00B276B5">
        <w:rPr>
          <w:i/>
        </w:rPr>
        <w:t xml:space="preserve">Our Inner West 2036 </w:t>
      </w:r>
      <w:r w:rsidR="00F246F9" w:rsidRPr="00B276B5">
        <w:t xml:space="preserve">guides Council to achieve the outcomes that the Inner West </w:t>
      </w:r>
      <w:r w:rsidR="002413E6">
        <w:t>c</w:t>
      </w:r>
      <w:r w:rsidR="00F246F9" w:rsidRPr="00B276B5">
        <w:t>ommunity ha</w:t>
      </w:r>
      <w:r w:rsidR="002413E6">
        <w:t>s</w:t>
      </w:r>
      <w:r w:rsidR="00F246F9" w:rsidRPr="00B276B5">
        <w:t xml:space="preserve"> identified as </w:t>
      </w:r>
      <w:r w:rsidR="002413E6">
        <w:t>priorities</w:t>
      </w:r>
      <w:r w:rsidR="005977AD">
        <w:t>:</w:t>
      </w:r>
    </w:p>
    <w:p w14:paraId="73A84C22" w14:textId="203D01AF" w:rsidR="00C114A8" w:rsidRPr="00B276B5" w:rsidRDefault="002413E6" w:rsidP="00B52910">
      <w:pPr>
        <w:pStyle w:val="ListParagraph"/>
        <w:numPr>
          <w:ilvl w:val="0"/>
          <w:numId w:val="1"/>
        </w:numPr>
      </w:pPr>
      <w:r>
        <w:t>i</w:t>
      </w:r>
      <w:r w:rsidR="00C114A8" w:rsidRPr="00B276B5">
        <w:t>nform our strategic decision</w:t>
      </w:r>
      <w:r>
        <w:t>-</w:t>
      </w:r>
      <w:r w:rsidR="00C114A8" w:rsidRPr="00B276B5">
        <w:t>making that will shape our future community</w:t>
      </w:r>
      <w:r w:rsidR="00853860" w:rsidRPr="00B276B5">
        <w:t xml:space="preserve">, </w:t>
      </w:r>
      <w:proofErr w:type="gramStart"/>
      <w:r w:rsidR="00853860" w:rsidRPr="00B276B5">
        <w:t>economy</w:t>
      </w:r>
      <w:proofErr w:type="gramEnd"/>
      <w:r w:rsidR="00C114A8" w:rsidRPr="00B276B5">
        <w:t xml:space="preserve"> and environment</w:t>
      </w:r>
    </w:p>
    <w:p w14:paraId="4A4F0E30" w14:textId="5F765656" w:rsidR="00C114A8" w:rsidRPr="00B276B5" w:rsidRDefault="002413E6" w:rsidP="00B52910">
      <w:pPr>
        <w:pStyle w:val="ListParagraph"/>
        <w:numPr>
          <w:ilvl w:val="0"/>
          <w:numId w:val="1"/>
        </w:numPr>
      </w:pPr>
      <w:r>
        <w:t>p</w:t>
      </w:r>
      <w:r w:rsidR="00C114A8" w:rsidRPr="00B276B5">
        <w:t xml:space="preserve">rotect and enhance the community’s values and </w:t>
      </w:r>
      <w:r w:rsidR="00853860" w:rsidRPr="00B276B5">
        <w:t>heritage</w:t>
      </w:r>
    </w:p>
    <w:p w14:paraId="35B3E2FC" w14:textId="59DB112F" w:rsidR="00C114A8" w:rsidRPr="00B276B5" w:rsidRDefault="002413E6" w:rsidP="00B52910">
      <w:pPr>
        <w:pStyle w:val="ListParagraph"/>
        <w:numPr>
          <w:ilvl w:val="0"/>
          <w:numId w:val="1"/>
        </w:numPr>
      </w:pPr>
      <w:r>
        <w:t>p</w:t>
      </w:r>
      <w:r w:rsidR="00C114A8" w:rsidRPr="00B276B5">
        <w:t xml:space="preserve">ave the way for the future </w:t>
      </w:r>
      <w:r w:rsidR="00853860" w:rsidRPr="00B276B5">
        <w:t>through proactive planning for</w:t>
      </w:r>
      <w:r w:rsidR="00C114A8" w:rsidRPr="00B276B5">
        <w:t xml:space="preserve"> the impacts of change </w:t>
      </w:r>
    </w:p>
    <w:p w14:paraId="123217F6" w14:textId="442F2026" w:rsidR="00D433D2" w:rsidRPr="00B276B5" w:rsidRDefault="002413E6" w:rsidP="00B52910">
      <w:pPr>
        <w:pStyle w:val="ListParagraph"/>
        <w:numPr>
          <w:ilvl w:val="0"/>
          <w:numId w:val="1"/>
        </w:numPr>
      </w:pPr>
      <w:r>
        <w:t>s</w:t>
      </w:r>
      <w:r w:rsidR="00853860" w:rsidRPr="00B276B5">
        <w:t xml:space="preserve">trive for </w:t>
      </w:r>
      <w:r w:rsidR="00C114A8" w:rsidRPr="00B276B5">
        <w:t>inclusivity, sustainability,</w:t>
      </w:r>
      <w:r w:rsidR="00CD5C8E" w:rsidRPr="00B276B5">
        <w:t xml:space="preserve"> resilience,</w:t>
      </w:r>
      <w:r w:rsidR="00C114A8" w:rsidRPr="00B276B5">
        <w:t xml:space="preserve"> </w:t>
      </w:r>
      <w:proofErr w:type="gramStart"/>
      <w:r w:rsidR="00C114A8" w:rsidRPr="00B276B5">
        <w:t>accountability</w:t>
      </w:r>
      <w:proofErr w:type="gramEnd"/>
      <w:r w:rsidR="00C114A8" w:rsidRPr="00B276B5">
        <w:t xml:space="preserve"> and innovation</w:t>
      </w:r>
      <w:r>
        <w:t>.</w:t>
      </w:r>
    </w:p>
    <w:p w14:paraId="69BFF06E" w14:textId="5EF1371B" w:rsidR="006428B6" w:rsidRPr="00B276B5" w:rsidRDefault="002413E6" w:rsidP="002413E6">
      <w:r>
        <w:t xml:space="preserve">Within this context, </w:t>
      </w:r>
      <w:r w:rsidR="006428B6" w:rsidRPr="00B276B5">
        <w:t xml:space="preserve">Council has identified three </w:t>
      </w:r>
      <w:r>
        <w:t>key</w:t>
      </w:r>
      <w:r w:rsidRPr="00B276B5">
        <w:t xml:space="preserve"> </w:t>
      </w:r>
      <w:r w:rsidR="006428B6" w:rsidRPr="00B276B5">
        <w:t>responsibilities that support the Healthy Ageing strategy:</w:t>
      </w:r>
    </w:p>
    <w:p w14:paraId="197086DE" w14:textId="66DBF6D3" w:rsidR="00D433D2" w:rsidRPr="00B276B5" w:rsidRDefault="00D433D2" w:rsidP="00E51FC4">
      <w:pPr>
        <w:pStyle w:val="ListParagraph"/>
        <w:numPr>
          <w:ilvl w:val="0"/>
          <w:numId w:val="2"/>
        </w:numPr>
      </w:pPr>
      <w:r w:rsidRPr="00B276B5">
        <w:t>Facilitator: support</w:t>
      </w:r>
      <w:r w:rsidR="00657544">
        <w:t>ing</w:t>
      </w:r>
      <w:r w:rsidRPr="00B276B5">
        <w:t xml:space="preserve"> and work</w:t>
      </w:r>
      <w:r w:rsidR="002413E6">
        <w:t>ing</w:t>
      </w:r>
      <w:r w:rsidRPr="00B276B5">
        <w:t xml:space="preserve"> with local community groups, </w:t>
      </w:r>
      <w:proofErr w:type="gramStart"/>
      <w:r w:rsidRPr="00B276B5">
        <w:t>organisations</w:t>
      </w:r>
      <w:proofErr w:type="gramEnd"/>
      <w:r w:rsidRPr="00B276B5">
        <w:t xml:space="preserve"> and government agencies to deliver services and infrastructure projects the community needs</w:t>
      </w:r>
      <w:r w:rsidR="002413E6">
        <w:br/>
      </w:r>
    </w:p>
    <w:p w14:paraId="0CF2A0F5" w14:textId="61090ADC" w:rsidR="00D433D2" w:rsidRPr="00B276B5" w:rsidRDefault="00D433D2" w:rsidP="00E51FC4">
      <w:pPr>
        <w:pStyle w:val="ListParagraph"/>
        <w:numPr>
          <w:ilvl w:val="0"/>
          <w:numId w:val="2"/>
        </w:numPr>
      </w:pPr>
      <w:r w:rsidRPr="00B276B5">
        <w:t>Provider: provid</w:t>
      </w:r>
      <w:r w:rsidR="00657544">
        <w:t>ing</w:t>
      </w:r>
      <w:r w:rsidRPr="00B276B5">
        <w:t xml:space="preserve"> essential social, cultural and community and infrastructure and programs</w:t>
      </w:r>
      <w:r w:rsidR="002413E6">
        <w:t>;</w:t>
      </w:r>
      <w:r w:rsidRPr="00B276B5">
        <w:t xml:space="preserve"> not replicat</w:t>
      </w:r>
      <w:r w:rsidR="002413E6">
        <w:t>ing</w:t>
      </w:r>
      <w:r w:rsidRPr="00B276B5">
        <w:t xml:space="preserve"> what is available in the commercial or not for profit market</w:t>
      </w:r>
      <w:r w:rsidR="002413E6">
        <w:br/>
      </w:r>
    </w:p>
    <w:p w14:paraId="538FAE42" w14:textId="544C19BF" w:rsidR="00D433D2" w:rsidRPr="00B276B5" w:rsidRDefault="00D433D2" w:rsidP="00E51FC4">
      <w:pPr>
        <w:pStyle w:val="ListParagraph"/>
        <w:numPr>
          <w:ilvl w:val="0"/>
          <w:numId w:val="2"/>
        </w:numPr>
      </w:pPr>
      <w:r w:rsidRPr="00B276B5">
        <w:t>Advocate: advocat</w:t>
      </w:r>
      <w:r w:rsidR="00657544">
        <w:t>ing</w:t>
      </w:r>
      <w:r w:rsidRPr="00B276B5">
        <w:t xml:space="preserve"> to </w:t>
      </w:r>
      <w:r w:rsidR="005977AD">
        <w:t>NSW</w:t>
      </w:r>
      <w:r w:rsidR="00BF6CCF">
        <w:t xml:space="preserve"> and Commonwealth G</w:t>
      </w:r>
      <w:r w:rsidRPr="00B276B5">
        <w:t>overnment</w:t>
      </w:r>
      <w:r w:rsidR="00BF6CCF">
        <w:t>s</w:t>
      </w:r>
      <w:r w:rsidRPr="00B276B5">
        <w:t xml:space="preserve"> for </w:t>
      </w:r>
      <w:r w:rsidR="002413E6">
        <w:t xml:space="preserve">the development and implementation of </w:t>
      </w:r>
      <w:r w:rsidRPr="00B276B5">
        <w:t xml:space="preserve">policy for </w:t>
      </w:r>
      <w:r w:rsidR="00BF6CCF">
        <w:t>more effective</w:t>
      </w:r>
      <w:r w:rsidRPr="00B276B5">
        <w:t xml:space="preserve"> social, </w:t>
      </w:r>
      <w:proofErr w:type="gramStart"/>
      <w:r w:rsidRPr="00B276B5">
        <w:t>cultural</w:t>
      </w:r>
      <w:proofErr w:type="gramEnd"/>
      <w:r w:rsidRPr="00B276B5">
        <w:t xml:space="preserve"> and economic outcomes</w:t>
      </w:r>
      <w:r w:rsidR="002413E6">
        <w:t>.</w:t>
      </w:r>
    </w:p>
    <w:p w14:paraId="2FAB3739" w14:textId="40C8E09D" w:rsidR="00C04CDC" w:rsidRPr="00B276B5" w:rsidRDefault="00FE08E2" w:rsidP="00C04CDC">
      <w:pPr>
        <w:pStyle w:val="Heading2"/>
        <w:rPr>
          <w:rFonts w:ascii="Arial" w:hAnsi="Arial" w:cs="Arial"/>
          <w:color w:val="auto"/>
          <w:sz w:val="22"/>
          <w:szCs w:val="22"/>
        </w:rPr>
      </w:pPr>
      <w:bookmarkStart w:id="11" w:name="_Toc71633299"/>
      <w:r>
        <w:rPr>
          <w:rFonts w:ascii="Arial" w:hAnsi="Arial" w:cs="Arial"/>
          <w:color w:val="auto"/>
          <w:sz w:val="22"/>
          <w:szCs w:val="22"/>
        </w:rPr>
        <w:t>Strategic f</w:t>
      </w:r>
      <w:r w:rsidR="005D3E4A">
        <w:rPr>
          <w:rFonts w:ascii="Arial" w:hAnsi="Arial" w:cs="Arial"/>
          <w:color w:val="auto"/>
          <w:sz w:val="22"/>
          <w:szCs w:val="22"/>
        </w:rPr>
        <w:t>ocus areas</w:t>
      </w:r>
      <w:bookmarkEnd w:id="11"/>
      <w:r w:rsidR="006F26D3">
        <w:rPr>
          <w:rFonts w:ascii="Arial" w:hAnsi="Arial" w:cs="Arial"/>
          <w:color w:val="auto"/>
          <w:sz w:val="22"/>
          <w:szCs w:val="22"/>
        </w:rPr>
        <w:br/>
      </w:r>
    </w:p>
    <w:p w14:paraId="2D526BD7" w14:textId="38777DA5" w:rsidR="005D3E4A" w:rsidRDefault="005D3E4A" w:rsidP="00CB6444">
      <w:r>
        <w:t xml:space="preserve">The </w:t>
      </w:r>
      <w:r w:rsidRPr="00E51FC4">
        <w:rPr>
          <w:i/>
          <w:iCs/>
        </w:rPr>
        <w:t>Health</w:t>
      </w:r>
      <w:r w:rsidR="006F26D3" w:rsidRPr="00E51FC4">
        <w:rPr>
          <w:i/>
          <w:iCs/>
        </w:rPr>
        <w:t>y</w:t>
      </w:r>
      <w:r w:rsidRPr="00E51FC4">
        <w:rPr>
          <w:i/>
          <w:iCs/>
        </w:rPr>
        <w:t xml:space="preserve"> Ageing Strategy</w:t>
      </w:r>
      <w:r w:rsidR="006F26D3" w:rsidRPr="00E51FC4">
        <w:rPr>
          <w:i/>
          <w:iCs/>
        </w:rPr>
        <w:t xml:space="preserve"> 2021-2025</w:t>
      </w:r>
      <w:r>
        <w:t xml:space="preserve"> proposes </w:t>
      </w:r>
      <w:r w:rsidR="00657544">
        <w:t>six</w:t>
      </w:r>
      <w:r>
        <w:t xml:space="preserve"> focus areas. These </w:t>
      </w:r>
      <w:r w:rsidR="006F26D3">
        <w:t xml:space="preserve">and </w:t>
      </w:r>
      <w:r>
        <w:t>Council’s initial responses</w:t>
      </w:r>
      <w:r w:rsidR="006F26D3">
        <w:t xml:space="preserve"> are detailed below:</w:t>
      </w:r>
    </w:p>
    <w:tbl>
      <w:tblPr>
        <w:tblStyle w:val="TableGrid"/>
        <w:tblW w:w="9067" w:type="dxa"/>
        <w:tblLook w:val="04A0" w:firstRow="1" w:lastRow="0" w:firstColumn="1" w:lastColumn="0" w:noHBand="0" w:noVBand="1"/>
      </w:tblPr>
      <w:tblGrid>
        <w:gridCol w:w="4106"/>
        <w:gridCol w:w="4961"/>
      </w:tblGrid>
      <w:tr w:rsidR="005D3E4A" w:rsidRPr="009F6A91" w14:paraId="1502D956" w14:textId="77777777" w:rsidTr="001B0EFA">
        <w:trPr>
          <w:trHeight w:val="471"/>
          <w:tblHeader/>
        </w:trPr>
        <w:tc>
          <w:tcPr>
            <w:tcW w:w="4106" w:type="dxa"/>
          </w:tcPr>
          <w:p w14:paraId="2069A3A5" w14:textId="5B1BEF97" w:rsidR="005D3E4A" w:rsidRPr="009F6A91" w:rsidRDefault="005D3E4A" w:rsidP="00561B05">
            <w:pPr>
              <w:rPr>
                <w:b/>
                <w:bCs/>
                <w:sz w:val="22"/>
                <w:szCs w:val="22"/>
              </w:rPr>
            </w:pPr>
            <w:r w:rsidRPr="009F6A91">
              <w:rPr>
                <w:b/>
                <w:bCs/>
                <w:sz w:val="22"/>
                <w:szCs w:val="22"/>
              </w:rPr>
              <w:t xml:space="preserve">Focus </w:t>
            </w:r>
            <w:r w:rsidR="009E13AB" w:rsidRPr="009F6A91">
              <w:rPr>
                <w:b/>
                <w:bCs/>
                <w:sz w:val="22"/>
                <w:szCs w:val="22"/>
              </w:rPr>
              <w:t>a</w:t>
            </w:r>
            <w:r w:rsidRPr="009F6A91">
              <w:rPr>
                <w:b/>
                <w:bCs/>
                <w:sz w:val="22"/>
                <w:szCs w:val="22"/>
              </w:rPr>
              <w:t>rea</w:t>
            </w:r>
          </w:p>
        </w:tc>
        <w:tc>
          <w:tcPr>
            <w:tcW w:w="4961" w:type="dxa"/>
          </w:tcPr>
          <w:p w14:paraId="0FB7B0B5" w14:textId="77777777" w:rsidR="005D3E4A" w:rsidRPr="009F6A91" w:rsidRDefault="005D3E4A" w:rsidP="00561B05">
            <w:pPr>
              <w:rPr>
                <w:b/>
                <w:bCs/>
                <w:sz w:val="22"/>
                <w:szCs w:val="22"/>
              </w:rPr>
            </w:pPr>
            <w:r w:rsidRPr="009F6A91">
              <w:rPr>
                <w:b/>
                <w:bCs/>
                <w:sz w:val="22"/>
                <w:szCs w:val="22"/>
              </w:rPr>
              <w:t xml:space="preserve">Initial responses </w:t>
            </w:r>
          </w:p>
        </w:tc>
      </w:tr>
      <w:tr w:rsidR="005D3E4A" w:rsidRPr="009F6A91" w14:paraId="111122E4" w14:textId="77777777" w:rsidTr="001B0EFA">
        <w:trPr>
          <w:trHeight w:val="1764"/>
        </w:trPr>
        <w:tc>
          <w:tcPr>
            <w:tcW w:w="4106" w:type="dxa"/>
          </w:tcPr>
          <w:p w14:paraId="295879F5" w14:textId="2C7C5A97" w:rsidR="005D3E4A" w:rsidRPr="009F6A91" w:rsidRDefault="00C71A02" w:rsidP="00561B05">
            <w:pPr>
              <w:rPr>
                <w:sz w:val="22"/>
                <w:szCs w:val="22"/>
              </w:rPr>
            </w:pPr>
            <w:bookmarkStart w:id="12" w:name="_Hlk67922636"/>
            <w:r w:rsidRPr="009F6A91">
              <w:rPr>
                <w:sz w:val="22"/>
                <w:szCs w:val="22"/>
              </w:rPr>
              <w:t>Staying active</w:t>
            </w:r>
          </w:p>
        </w:tc>
        <w:tc>
          <w:tcPr>
            <w:tcW w:w="4961" w:type="dxa"/>
          </w:tcPr>
          <w:p w14:paraId="397EFC02" w14:textId="59C36D17" w:rsidR="002C5938" w:rsidRPr="009F6A91" w:rsidRDefault="006F26D3" w:rsidP="00B52910">
            <w:pPr>
              <w:pStyle w:val="ListParagraph"/>
              <w:numPr>
                <w:ilvl w:val="0"/>
                <w:numId w:val="3"/>
              </w:numPr>
              <w:rPr>
                <w:sz w:val="22"/>
                <w:szCs w:val="22"/>
              </w:rPr>
            </w:pPr>
            <w:r w:rsidRPr="009F6A91">
              <w:rPr>
                <w:sz w:val="22"/>
                <w:szCs w:val="22"/>
              </w:rPr>
              <w:t>d</w:t>
            </w:r>
            <w:r w:rsidR="00C71A02" w:rsidRPr="009F6A91">
              <w:rPr>
                <w:sz w:val="22"/>
                <w:szCs w:val="22"/>
              </w:rPr>
              <w:t xml:space="preserve">evelop a community hub model to better connect older people to the broader community </w:t>
            </w:r>
          </w:p>
          <w:p w14:paraId="73A4C53E" w14:textId="393CE126" w:rsidR="00C71A02" w:rsidRPr="009F6A91" w:rsidRDefault="006F26D3" w:rsidP="00B52910">
            <w:pPr>
              <w:pStyle w:val="ListParagraph"/>
              <w:numPr>
                <w:ilvl w:val="0"/>
                <w:numId w:val="3"/>
              </w:numPr>
              <w:rPr>
                <w:sz w:val="22"/>
                <w:szCs w:val="22"/>
              </w:rPr>
            </w:pPr>
            <w:r w:rsidRPr="009F6A91">
              <w:rPr>
                <w:sz w:val="22"/>
                <w:szCs w:val="22"/>
              </w:rPr>
              <w:t>s</w:t>
            </w:r>
            <w:r w:rsidR="00C71A02" w:rsidRPr="009F6A91">
              <w:rPr>
                <w:sz w:val="22"/>
                <w:szCs w:val="22"/>
              </w:rPr>
              <w:t>upport a diverse range of wellbeing initiatives in the community</w:t>
            </w:r>
          </w:p>
          <w:p w14:paraId="659D11B1" w14:textId="6F9647D1" w:rsidR="00C71A02" w:rsidRPr="009F6A91" w:rsidRDefault="006F26D3" w:rsidP="00B52910">
            <w:pPr>
              <w:pStyle w:val="ListParagraph"/>
              <w:numPr>
                <w:ilvl w:val="0"/>
                <w:numId w:val="3"/>
              </w:numPr>
              <w:rPr>
                <w:sz w:val="22"/>
                <w:szCs w:val="22"/>
              </w:rPr>
            </w:pPr>
            <w:r w:rsidRPr="009F6A91">
              <w:rPr>
                <w:sz w:val="22"/>
                <w:szCs w:val="22"/>
              </w:rPr>
              <w:t>pr</w:t>
            </w:r>
            <w:r w:rsidR="00C71A02" w:rsidRPr="009F6A91">
              <w:rPr>
                <w:sz w:val="22"/>
                <w:szCs w:val="22"/>
              </w:rPr>
              <w:t>omote and support intergenerational participation</w:t>
            </w:r>
          </w:p>
          <w:p w14:paraId="0748C9EF" w14:textId="734E1508" w:rsidR="00C71A02" w:rsidRPr="009F6A91" w:rsidRDefault="006F26D3" w:rsidP="00B52910">
            <w:pPr>
              <w:pStyle w:val="ListParagraph"/>
              <w:numPr>
                <w:ilvl w:val="0"/>
                <w:numId w:val="3"/>
              </w:numPr>
              <w:rPr>
                <w:sz w:val="22"/>
                <w:szCs w:val="22"/>
              </w:rPr>
            </w:pPr>
            <w:r w:rsidRPr="009F6A91">
              <w:rPr>
                <w:sz w:val="22"/>
                <w:szCs w:val="22"/>
              </w:rPr>
              <w:t>e</w:t>
            </w:r>
            <w:r w:rsidR="00C71A02" w:rsidRPr="009F6A91">
              <w:rPr>
                <w:sz w:val="22"/>
                <w:szCs w:val="22"/>
              </w:rPr>
              <w:t>valuate our Healthy Ageing programming and recommend changes to Council</w:t>
            </w:r>
          </w:p>
          <w:p w14:paraId="7CF9AA8F" w14:textId="35C0091C" w:rsidR="00C71A02" w:rsidRPr="009F6A91" w:rsidRDefault="006F26D3" w:rsidP="00B52910">
            <w:pPr>
              <w:pStyle w:val="ListParagraph"/>
              <w:numPr>
                <w:ilvl w:val="0"/>
                <w:numId w:val="3"/>
              </w:numPr>
              <w:rPr>
                <w:sz w:val="22"/>
                <w:szCs w:val="22"/>
              </w:rPr>
            </w:pPr>
            <w:r w:rsidRPr="009F6A91">
              <w:rPr>
                <w:sz w:val="22"/>
                <w:szCs w:val="22"/>
              </w:rPr>
              <w:t>c</w:t>
            </w:r>
            <w:r w:rsidR="00C71A02" w:rsidRPr="009F6A91">
              <w:rPr>
                <w:sz w:val="22"/>
                <w:szCs w:val="22"/>
              </w:rPr>
              <w:t xml:space="preserve">ollaborate with the Local </w:t>
            </w:r>
            <w:r w:rsidRPr="009F6A91">
              <w:rPr>
                <w:sz w:val="22"/>
                <w:szCs w:val="22"/>
              </w:rPr>
              <w:t>H</w:t>
            </w:r>
            <w:r w:rsidR="00C71A02" w:rsidRPr="009F6A91">
              <w:rPr>
                <w:sz w:val="22"/>
                <w:szCs w:val="22"/>
              </w:rPr>
              <w:t>ealth District on healthy ageing policy</w:t>
            </w:r>
            <w:r w:rsidRPr="009F6A91">
              <w:rPr>
                <w:sz w:val="22"/>
                <w:szCs w:val="22"/>
              </w:rPr>
              <w:t>.</w:t>
            </w:r>
          </w:p>
        </w:tc>
      </w:tr>
      <w:tr w:rsidR="005D3E4A" w:rsidRPr="009F6A91" w14:paraId="71081A86" w14:textId="77777777" w:rsidTr="001B0EFA">
        <w:trPr>
          <w:trHeight w:val="1764"/>
        </w:trPr>
        <w:tc>
          <w:tcPr>
            <w:tcW w:w="4106" w:type="dxa"/>
          </w:tcPr>
          <w:p w14:paraId="597450E1" w14:textId="21BFED31" w:rsidR="005D3E4A" w:rsidRPr="009F6A91" w:rsidRDefault="00C71A02" w:rsidP="00561B05">
            <w:pPr>
              <w:rPr>
                <w:sz w:val="22"/>
                <w:szCs w:val="22"/>
              </w:rPr>
            </w:pPr>
            <w:r w:rsidRPr="009F6A91">
              <w:rPr>
                <w:sz w:val="22"/>
                <w:szCs w:val="22"/>
              </w:rPr>
              <w:t>Getting around and staying connected</w:t>
            </w:r>
          </w:p>
        </w:tc>
        <w:tc>
          <w:tcPr>
            <w:tcW w:w="4961" w:type="dxa"/>
          </w:tcPr>
          <w:p w14:paraId="1F925AFB" w14:textId="2648163C" w:rsidR="006F26D3" w:rsidRPr="009F6A91" w:rsidRDefault="006F26D3" w:rsidP="00B52910">
            <w:pPr>
              <w:pStyle w:val="ListParagraph"/>
              <w:numPr>
                <w:ilvl w:val="0"/>
                <w:numId w:val="3"/>
              </w:numPr>
              <w:rPr>
                <w:sz w:val="22"/>
                <w:szCs w:val="22"/>
              </w:rPr>
            </w:pPr>
            <w:r w:rsidRPr="009F6A91">
              <w:rPr>
                <w:sz w:val="22"/>
                <w:szCs w:val="22"/>
              </w:rPr>
              <w:t>i</w:t>
            </w:r>
            <w:r w:rsidR="005D3E4A" w:rsidRPr="009F6A91">
              <w:rPr>
                <w:sz w:val="22"/>
                <w:szCs w:val="22"/>
              </w:rPr>
              <w:t xml:space="preserve">nfrastructure to support </w:t>
            </w:r>
            <w:r w:rsidRPr="009F6A91">
              <w:rPr>
                <w:sz w:val="22"/>
                <w:szCs w:val="22"/>
              </w:rPr>
              <w:t xml:space="preserve">the </w:t>
            </w:r>
            <w:r w:rsidR="005D3E4A" w:rsidRPr="009F6A91">
              <w:rPr>
                <w:sz w:val="22"/>
                <w:szCs w:val="22"/>
              </w:rPr>
              <w:t>comfortable use of public spaces</w:t>
            </w:r>
            <w:r w:rsidRPr="009F6A91">
              <w:rPr>
                <w:sz w:val="22"/>
                <w:szCs w:val="22"/>
              </w:rPr>
              <w:t>,</w:t>
            </w:r>
            <w:r w:rsidR="005D3E4A" w:rsidRPr="009F6A91">
              <w:rPr>
                <w:sz w:val="22"/>
                <w:szCs w:val="22"/>
              </w:rPr>
              <w:t xml:space="preserve"> such as shade, age</w:t>
            </w:r>
            <w:r w:rsidRPr="009F6A91">
              <w:rPr>
                <w:sz w:val="22"/>
                <w:szCs w:val="22"/>
              </w:rPr>
              <w:t>-</w:t>
            </w:r>
            <w:r w:rsidR="005D3E4A" w:rsidRPr="009F6A91">
              <w:rPr>
                <w:sz w:val="22"/>
                <w:szCs w:val="22"/>
              </w:rPr>
              <w:t>friendly seating</w:t>
            </w:r>
            <w:r w:rsidR="002C5938" w:rsidRPr="009F6A91">
              <w:rPr>
                <w:sz w:val="22"/>
                <w:szCs w:val="22"/>
              </w:rPr>
              <w:t>, bubblers, accessible toilets</w:t>
            </w:r>
            <w:r w:rsidR="005D3E4A" w:rsidRPr="009F6A91">
              <w:rPr>
                <w:sz w:val="22"/>
                <w:szCs w:val="22"/>
              </w:rPr>
              <w:t xml:space="preserve"> and walking with companion animals </w:t>
            </w:r>
          </w:p>
          <w:p w14:paraId="5E4FAF96" w14:textId="7B8CEA8C" w:rsidR="005D3E4A" w:rsidRPr="009F6A91" w:rsidRDefault="006F26D3" w:rsidP="00B52910">
            <w:pPr>
              <w:pStyle w:val="ListParagraph"/>
              <w:numPr>
                <w:ilvl w:val="0"/>
                <w:numId w:val="3"/>
              </w:numPr>
              <w:rPr>
                <w:sz w:val="22"/>
                <w:szCs w:val="22"/>
              </w:rPr>
            </w:pPr>
            <w:r w:rsidRPr="009F6A91">
              <w:rPr>
                <w:sz w:val="22"/>
                <w:szCs w:val="22"/>
              </w:rPr>
              <w:t>c</w:t>
            </w:r>
            <w:r w:rsidR="00C71A02" w:rsidRPr="009F6A91">
              <w:rPr>
                <w:sz w:val="22"/>
                <w:szCs w:val="22"/>
              </w:rPr>
              <w:t>o</w:t>
            </w:r>
            <w:r w:rsidRPr="009F6A91">
              <w:rPr>
                <w:sz w:val="22"/>
                <w:szCs w:val="22"/>
              </w:rPr>
              <w:t>-</w:t>
            </w:r>
            <w:r w:rsidR="00C71A02" w:rsidRPr="009F6A91">
              <w:rPr>
                <w:sz w:val="22"/>
                <w:szCs w:val="22"/>
              </w:rPr>
              <w:t xml:space="preserve">design of </w:t>
            </w:r>
            <w:r w:rsidR="00BF6CCF" w:rsidRPr="009F6A91">
              <w:rPr>
                <w:sz w:val="22"/>
                <w:szCs w:val="22"/>
              </w:rPr>
              <w:t xml:space="preserve">town centre upgrades </w:t>
            </w:r>
            <w:r w:rsidR="00C71A02" w:rsidRPr="009F6A91">
              <w:rPr>
                <w:sz w:val="22"/>
                <w:szCs w:val="22"/>
              </w:rPr>
              <w:t>with people as they age</w:t>
            </w:r>
          </w:p>
          <w:p w14:paraId="32100441" w14:textId="5CB3CF7A" w:rsidR="005D3E4A" w:rsidRPr="009F6A91" w:rsidRDefault="006F26D3" w:rsidP="00B52910">
            <w:pPr>
              <w:pStyle w:val="ListParagraph"/>
              <w:numPr>
                <w:ilvl w:val="0"/>
                <w:numId w:val="3"/>
              </w:numPr>
              <w:rPr>
                <w:sz w:val="22"/>
                <w:szCs w:val="22"/>
              </w:rPr>
            </w:pPr>
            <w:r w:rsidRPr="009F6A91">
              <w:rPr>
                <w:sz w:val="22"/>
                <w:szCs w:val="22"/>
              </w:rPr>
              <w:t>a</w:t>
            </w:r>
            <w:r w:rsidR="005D3E4A" w:rsidRPr="009F6A91">
              <w:rPr>
                <w:sz w:val="22"/>
                <w:szCs w:val="22"/>
              </w:rPr>
              <w:t>pply age-friendly principles to support older people’s movements across the Inner West</w:t>
            </w:r>
          </w:p>
          <w:p w14:paraId="2B8007A2" w14:textId="680EF019" w:rsidR="005D3E4A" w:rsidRPr="009F6A91" w:rsidRDefault="005D3E4A" w:rsidP="00B52910">
            <w:pPr>
              <w:pStyle w:val="ListParagraph"/>
              <w:numPr>
                <w:ilvl w:val="0"/>
                <w:numId w:val="3"/>
              </w:numPr>
              <w:rPr>
                <w:sz w:val="22"/>
                <w:szCs w:val="22"/>
              </w:rPr>
            </w:pPr>
            <w:r w:rsidRPr="009F6A91">
              <w:rPr>
                <w:sz w:val="22"/>
                <w:szCs w:val="22"/>
              </w:rPr>
              <w:t>Advocate for improved public transport options that are accessible</w:t>
            </w:r>
          </w:p>
          <w:p w14:paraId="69B19968" w14:textId="792B6916" w:rsidR="005D3E4A" w:rsidRPr="009F6A91" w:rsidRDefault="006F26D3" w:rsidP="00B52910">
            <w:pPr>
              <w:pStyle w:val="ListParagraph"/>
              <w:numPr>
                <w:ilvl w:val="0"/>
                <w:numId w:val="3"/>
              </w:numPr>
              <w:rPr>
                <w:sz w:val="22"/>
                <w:szCs w:val="22"/>
              </w:rPr>
            </w:pPr>
            <w:r w:rsidRPr="009F6A91">
              <w:rPr>
                <w:sz w:val="22"/>
                <w:szCs w:val="22"/>
              </w:rPr>
              <w:t>r</w:t>
            </w:r>
            <w:r w:rsidR="00C71A02" w:rsidRPr="009F6A91">
              <w:rPr>
                <w:sz w:val="22"/>
                <w:szCs w:val="22"/>
              </w:rPr>
              <w:t>eview and improve local transport provided by Council</w:t>
            </w:r>
          </w:p>
          <w:p w14:paraId="016B266F" w14:textId="116B752B" w:rsidR="00C71A02" w:rsidRPr="009F6A91" w:rsidRDefault="006F26D3" w:rsidP="00B52910">
            <w:pPr>
              <w:pStyle w:val="ListParagraph"/>
              <w:numPr>
                <w:ilvl w:val="0"/>
                <w:numId w:val="3"/>
              </w:numPr>
              <w:rPr>
                <w:sz w:val="22"/>
                <w:szCs w:val="22"/>
              </w:rPr>
            </w:pPr>
            <w:r w:rsidRPr="009F6A91">
              <w:rPr>
                <w:sz w:val="22"/>
                <w:szCs w:val="22"/>
              </w:rPr>
              <w:t>d</w:t>
            </w:r>
            <w:r w:rsidR="00C71A02" w:rsidRPr="009F6A91">
              <w:rPr>
                <w:sz w:val="22"/>
                <w:szCs w:val="22"/>
              </w:rPr>
              <w:t>evelop more accessible footpaths and pathways across communities</w:t>
            </w:r>
          </w:p>
          <w:p w14:paraId="469D771B" w14:textId="627AB5FB" w:rsidR="00C71A02" w:rsidRPr="009F6A91" w:rsidRDefault="006F26D3" w:rsidP="00B52910">
            <w:pPr>
              <w:pStyle w:val="ListParagraph"/>
              <w:numPr>
                <w:ilvl w:val="0"/>
                <w:numId w:val="3"/>
              </w:numPr>
              <w:rPr>
                <w:sz w:val="22"/>
                <w:szCs w:val="22"/>
              </w:rPr>
            </w:pPr>
            <w:r w:rsidRPr="009F6A91">
              <w:rPr>
                <w:sz w:val="22"/>
                <w:szCs w:val="22"/>
              </w:rPr>
              <w:t>d</w:t>
            </w:r>
            <w:r w:rsidR="00C71A02" w:rsidRPr="009F6A91">
              <w:rPr>
                <w:sz w:val="22"/>
                <w:szCs w:val="22"/>
              </w:rPr>
              <w:t>eliver new and improved community facilities and infrastructure</w:t>
            </w:r>
          </w:p>
          <w:p w14:paraId="7416B4D2" w14:textId="70B81C52" w:rsidR="00C71A02" w:rsidRPr="009F6A91" w:rsidRDefault="006F26D3" w:rsidP="00B52910">
            <w:pPr>
              <w:pStyle w:val="ListParagraph"/>
              <w:numPr>
                <w:ilvl w:val="0"/>
                <w:numId w:val="3"/>
              </w:numPr>
              <w:rPr>
                <w:sz w:val="22"/>
                <w:szCs w:val="22"/>
              </w:rPr>
            </w:pPr>
            <w:r w:rsidRPr="009F6A91">
              <w:rPr>
                <w:sz w:val="22"/>
                <w:szCs w:val="22"/>
              </w:rPr>
              <w:t>e</w:t>
            </w:r>
            <w:r w:rsidR="00C71A02" w:rsidRPr="009F6A91">
              <w:rPr>
                <w:sz w:val="22"/>
                <w:szCs w:val="22"/>
              </w:rPr>
              <w:t xml:space="preserve">nsure accessible parking is </w:t>
            </w:r>
            <w:r w:rsidRPr="009F6A91">
              <w:rPr>
                <w:sz w:val="22"/>
                <w:szCs w:val="22"/>
              </w:rPr>
              <w:t xml:space="preserve">available </w:t>
            </w:r>
            <w:r w:rsidR="00C71A02" w:rsidRPr="009F6A91">
              <w:rPr>
                <w:sz w:val="22"/>
                <w:szCs w:val="22"/>
              </w:rPr>
              <w:t>when it</w:t>
            </w:r>
            <w:r w:rsidRPr="009F6A91">
              <w:rPr>
                <w:sz w:val="22"/>
                <w:szCs w:val="22"/>
              </w:rPr>
              <w:t xml:space="preserve"> i</w:t>
            </w:r>
            <w:r w:rsidR="00C71A02" w:rsidRPr="009F6A91">
              <w:rPr>
                <w:sz w:val="22"/>
                <w:szCs w:val="22"/>
              </w:rPr>
              <w:t>s needed</w:t>
            </w:r>
            <w:r w:rsidR="00DD775E" w:rsidRPr="009F6A91">
              <w:rPr>
                <w:sz w:val="22"/>
                <w:szCs w:val="22"/>
              </w:rPr>
              <w:t>.</w:t>
            </w:r>
          </w:p>
          <w:p w14:paraId="5D571687" w14:textId="77777777" w:rsidR="005D3E4A" w:rsidRPr="009F6A91" w:rsidRDefault="005D3E4A" w:rsidP="00561B05">
            <w:pPr>
              <w:rPr>
                <w:sz w:val="22"/>
                <w:szCs w:val="22"/>
              </w:rPr>
            </w:pPr>
          </w:p>
        </w:tc>
      </w:tr>
      <w:tr w:rsidR="005D3E4A" w:rsidRPr="009F6A91" w14:paraId="52C41EB2" w14:textId="77777777" w:rsidTr="001B0EFA">
        <w:trPr>
          <w:trHeight w:val="847"/>
        </w:trPr>
        <w:tc>
          <w:tcPr>
            <w:tcW w:w="4106" w:type="dxa"/>
          </w:tcPr>
          <w:p w14:paraId="5EEE6C95" w14:textId="671626EE" w:rsidR="005D3E4A" w:rsidRPr="009F6A91" w:rsidRDefault="00C71A02" w:rsidP="00561B05">
            <w:pPr>
              <w:rPr>
                <w:sz w:val="22"/>
                <w:szCs w:val="22"/>
              </w:rPr>
            </w:pPr>
            <w:r w:rsidRPr="009F6A91">
              <w:rPr>
                <w:sz w:val="22"/>
                <w:szCs w:val="22"/>
              </w:rPr>
              <w:t xml:space="preserve">Housing, </w:t>
            </w:r>
            <w:proofErr w:type="gramStart"/>
            <w:r w:rsidRPr="009F6A91">
              <w:rPr>
                <w:sz w:val="22"/>
                <w:szCs w:val="22"/>
              </w:rPr>
              <w:t>employment</w:t>
            </w:r>
            <w:proofErr w:type="gramEnd"/>
            <w:r w:rsidRPr="009F6A91">
              <w:rPr>
                <w:sz w:val="22"/>
                <w:szCs w:val="22"/>
              </w:rPr>
              <w:t xml:space="preserve"> and financial security</w:t>
            </w:r>
          </w:p>
        </w:tc>
        <w:tc>
          <w:tcPr>
            <w:tcW w:w="4961" w:type="dxa"/>
          </w:tcPr>
          <w:p w14:paraId="559693DE" w14:textId="041C5257" w:rsidR="005D3E4A" w:rsidRPr="009F6A91" w:rsidRDefault="006F26D3" w:rsidP="00B52910">
            <w:pPr>
              <w:pStyle w:val="ListParagraph"/>
              <w:numPr>
                <w:ilvl w:val="0"/>
                <w:numId w:val="6"/>
              </w:numPr>
              <w:rPr>
                <w:sz w:val="22"/>
                <w:szCs w:val="22"/>
              </w:rPr>
            </w:pPr>
            <w:r w:rsidRPr="009F6A91">
              <w:rPr>
                <w:sz w:val="22"/>
                <w:szCs w:val="22"/>
              </w:rPr>
              <w:t>a</w:t>
            </w:r>
            <w:r w:rsidR="005D3E4A" w:rsidRPr="009F6A91">
              <w:rPr>
                <w:sz w:val="22"/>
                <w:szCs w:val="22"/>
              </w:rPr>
              <w:t>dvocat</w:t>
            </w:r>
            <w:r w:rsidRPr="009F6A91">
              <w:rPr>
                <w:sz w:val="22"/>
                <w:szCs w:val="22"/>
              </w:rPr>
              <w:t>e</w:t>
            </w:r>
            <w:r w:rsidR="005D3E4A" w:rsidRPr="009F6A91">
              <w:rPr>
                <w:sz w:val="22"/>
                <w:szCs w:val="22"/>
              </w:rPr>
              <w:t xml:space="preserve"> for a range of fundamental needs for older people </w:t>
            </w:r>
            <w:r w:rsidR="00C71A02" w:rsidRPr="009F6A91">
              <w:rPr>
                <w:sz w:val="22"/>
                <w:szCs w:val="22"/>
              </w:rPr>
              <w:t>including social and affordable housing</w:t>
            </w:r>
          </w:p>
          <w:p w14:paraId="7BC86B2A" w14:textId="4D8F7E50" w:rsidR="00C71A02" w:rsidRPr="009F6A91" w:rsidRDefault="006F26D3" w:rsidP="00B52910">
            <w:pPr>
              <w:pStyle w:val="ListParagraph"/>
              <w:numPr>
                <w:ilvl w:val="0"/>
                <w:numId w:val="6"/>
              </w:numPr>
              <w:rPr>
                <w:sz w:val="22"/>
                <w:szCs w:val="22"/>
              </w:rPr>
            </w:pPr>
            <w:r w:rsidRPr="009F6A91">
              <w:rPr>
                <w:sz w:val="22"/>
                <w:szCs w:val="22"/>
              </w:rPr>
              <w:t>p</w:t>
            </w:r>
            <w:r w:rsidR="00C71A02" w:rsidRPr="009F6A91">
              <w:rPr>
                <w:sz w:val="22"/>
                <w:szCs w:val="22"/>
              </w:rPr>
              <w:t>romote financial literacy</w:t>
            </w:r>
          </w:p>
        </w:tc>
      </w:tr>
      <w:tr w:rsidR="005D3E4A" w:rsidRPr="009F6A91" w14:paraId="132FE3DB" w14:textId="77777777" w:rsidTr="001B0EFA">
        <w:trPr>
          <w:trHeight w:val="1075"/>
        </w:trPr>
        <w:tc>
          <w:tcPr>
            <w:tcW w:w="4106" w:type="dxa"/>
          </w:tcPr>
          <w:p w14:paraId="48DA76FE" w14:textId="31E5E409" w:rsidR="005D3E4A" w:rsidRPr="009F6A91" w:rsidRDefault="00C71A02" w:rsidP="00561B05">
            <w:pPr>
              <w:rPr>
                <w:sz w:val="22"/>
                <w:szCs w:val="22"/>
              </w:rPr>
            </w:pPr>
            <w:r w:rsidRPr="009F6A91">
              <w:rPr>
                <w:sz w:val="22"/>
                <w:szCs w:val="22"/>
              </w:rPr>
              <w:t>Safety</w:t>
            </w:r>
          </w:p>
        </w:tc>
        <w:tc>
          <w:tcPr>
            <w:tcW w:w="4961" w:type="dxa"/>
            <w:shd w:val="clear" w:color="auto" w:fill="auto"/>
          </w:tcPr>
          <w:p w14:paraId="4A931F8B" w14:textId="14EDB16F" w:rsidR="005D3E4A" w:rsidRPr="009F6A91" w:rsidRDefault="00C71A02" w:rsidP="00B52910">
            <w:pPr>
              <w:pStyle w:val="ListParagraph"/>
              <w:numPr>
                <w:ilvl w:val="0"/>
                <w:numId w:val="7"/>
              </w:numPr>
              <w:rPr>
                <w:sz w:val="22"/>
                <w:szCs w:val="22"/>
              </w:rPr>
            </w:pPr>
            <w:r w:rsidRPr="009F6A91">
              <w:rPr>
                <w:sz w:val="22"/>
                <w:szCs w:val="22"/>
              </w:rPr>
              <w:t xml:space="preserve">Council venues are </w:t>
            </w:r>
            <w:r w:rsidR="006F26D3" w:rsidRPr="009F6A91">
              <w:rPr>
                <w:sz w:val="22"/>
                <w:szCs w:val="22"/>
              </w:rPr>
              <w:t>available</w:t>
            </w:r>
            <w:r w:rsidRPr="009F6A91">
              <w:rPr>
                <w:sz w:val="22"/>
                <w:szCs w:val="22"/>
              </w:rPr>
              <w:t xml:space="preserve"> in times of crisis or emergency</w:t>
            </w:r>
          </w:p>
          <w:p w14:paraId="0013D06F" w14:textId="0F789BC0" w:rsidR="00C71A02" w:rsidRPr="009F6A91" w:rsidRDefault="006F26D3" w:rsidP="00B52910">
            <w:pPr>
              <w:pStyle w:val="ListParagraph"/>
              <w:numPr>
                <w:ilvl w:val="0"/>
                <w:numId w:val="7"/>
              </w:numPr>
              <w:rPr>
                <w:sz w:val="22"/>
                <w:szCs w:val="22"/>
              </w:rPr>
            </w:pPr>
            <w:r w:rsidRPr="009F6A91">
              <w:rPr>
                <w:sz w:val="22"/>
                <w:szCs w:val="22"/>
              </w:rPr>
              <w:t>r</w:t>
            </w:r>
            <w:r w:rsidR="00C71A02" w:rsidRPr="009F6A91">
              <w:rPr>
                <w:sz w:val="22"/>
                <w:szCs w:val="22"/>
              </w:rPr>
              <w:t>educ</w:t>
            </w:r>
            <w:r w:rsidRPr="009F6A91">
              <w:rPr>
                <w:sz w:val="22"/>
                <w:szCs w:val="22"/>
              </w:rPr>
              <w:t>e</w:t>
            </w:r>
            <w:r w:rsidR="00C71A02" w:rsidRPr="009F6A91">
              <w:rPr>
                <w:sz w:val="22"/>
                <w:szCs w:val="22"/>
              </w:rPr>
              <w:t xml:space="preserve"> and prevent </w:t>
            </w:r>
            <w:r w:rsidR="00B00B45" w:rsidRPr="009F6A91">
              <w:rPr>
                <w:sz w:val="22"/>
                <w:szCs w:val="22"/>
              </w:rPr>
              <w:t>family violence and elder abuse</w:t>
            </w:r>
            <w:r w:rsidR="00DD775E" w:rsidRPr="009F6A91">
              <w:rPr>
                <w:sz w:val="22"/>
                <w:szCs w:val="22"/>
              </w:rPr>
              <w:t>.</w:t>
            </w:r>
          </w:p>
        </w:tc>
      </w:tr>
      <w:tr w:rsidR="00C71A02" w:rsidRPr="009F6A91" w14:paraId="0CC84D11" w14:textId="77777777" w:rsidTr="001B0EFA">
        <w:trPr>
          <w:trHeight w:val="1075"/>
        </w:trPr>
        <w:tc>
          <w:tcPr>
            <w:tcW w:w="4106" w:type="dxa"/>
          </w:tcPr>
          <w:p w14:paraId="1BD03EDA" w14:textId="365A458A" w:rsidR="00C71A02" w:rsidRPr="009F6A91" w:rsidRDefault="00B00B45" w:rsidP="00C71A02">
            <w:pPr>
              <w:rPr>
                <w:sz w:val="22"/>
                <w:szCs w:val="22"/>
              </w:rPr>
            </w:pPr>
            <w:r w:rsidRPr="009F6A91">
              <w:rPr>
                <w:sz w:val="22"/>
                <w:szCs w:val="22"/>
              </w:rPr>
              <w:t>Learning and sharing knowledge</w:t>
            </w:r>
          </w:p>
        </w:tc>
        <w:tc>
          <w:tcPr>
            <w:tcW w:w="4961" w:type="dxa"/>
            <w:shd w:val="clear" w:color="auto" w:fill="auto"/>
          </w:tcPr>
          <w:p w14:paraId="36334F0F" w14:textId="744BE11D" w:rsidR="00C71A02" w:rsidRPr="009F6A91" w:rsidRDefault="006F26D3" w:rsidP="00B52910">
            <w:pPr>
              <w:pStyle w:val="ListParagraph"/>
              <w:numPr>
                <w:ilvl w:val="0"/>
                <w:numId w:val="8"/>
              </w:numPr>
              <w:rPr>
                <w:sz w:val="22"/>
                <w:szCs w:val="22"/>
              </w:rPr>
            </w:pPr>
            <w:r w:rsidRPr="009F6A91">
              <w:rPr>
                <w:sz w:val="22"/>
                <w:szCs w:val="22"/>
              </w:rPr>
              <w:t>i</w:t>
            </w:r>
            <w:r w:rsidR="00B00B45" w:rsidRPr="009F6A91">
              <w:rPr>
                <w:sz w:val="22"/>
                <w:szCs w:val="22"/>
              </w:rPr>
              <w:t>ncreas</w:t>
            </w:r>
            <w:r w:rsidRPr="009F6A91">
              <w:rPr>
                <w:sz w:val="22"/>
                <w:szCs w:val="22"/>
              </w:rPr>
              <w:t>e</w:t>
            </w:r>
            <w:r w:rsidR="00B00B45" w:rsidRPr="009F6A91">
              <w:rPr>
                <w:sz w:val="22"/>
                <w:szCs w:val="22"/>
              </w:rPr>
              <w:t xml:space="preserve"> the visibility of healthy ageing</w:t>
            </w:r>
          </w:p>
          <w:p w14:paraId="504EC10C" w14:textId="34C141A8" w:rsidR="00B00B45" w:rsidRPr="009F6A91" w:rsidRDefault="006F26D3" w:rsidP="00B52910">
            <w:pPr>
              <w:pStyle w:val="ListParagraph"/>
              <w:numPr>
                <w:ilvl w:val="0"/>
                <w:numId w:val="8"/>
              </w:numPr>
              <w:rPr>
                <w:sz w:val="22"/>
                <w:szCs w:val="22"/>
              </w:rPr>
            </w:pPr>
            <w:r w:rsidRPr="009F6A91">
              <w:rPr>
                <w:sz w:val="22"/>
                <w:szCs w:val="22"/>
              </w:rPr>
              <w:t>s</w:t>
            </w:r>
            <w:r w:rsidR="00B00B45" w:rsidRPr="009F6A91">
              <w:rPr>
                <w:sz w:val="22"/>
                <w:szCs w:val="22"/>
              </w:rPr>
              <w:t>upport the Inner West Dementia Alliance</w:t>
            </w:r>
          </w:p>
          <w:p w14:paraId="1E353E73" w14:textId="31CFB3E3" w:rsidR="00B00B45" w:rsidRPr="009F6A91" w:rsidRDefault="006F26D3" w:rsidP="00B52910">
            <w:pPr>
              <w:pStyle w:val="ListParagraph"/>
              <w:numPr>
                <w:ilvl w:val="0"/>
                <w:numId w:val="8"/>
              </w:numPr>
              <w:rPr>
                <w:sz w:val="22"/>
                <w:szCs w:val="22"/>
              </w:rPr>
            </w:pPr>
            <w:r w:rsidRPr="009F6A91">
              <w:rPr>
                <w:sz w:val="22"/>
                <w:szCs w:val="22"/>
              </w:rPr>
              <w:t>c</w:t>
            </w:r>
            <w:r w:rsidR="00B00B45" w:rsidRPr="009F6A91">
              <w:rPr>
                <w:sz w:val="22"/>
                <w:szCs w:val="22"/>
              </w:rPr>
              <w:t>onnect to volunteering</w:t>
            </w:r>
          </w:p>
          <w:p w14:paraId="1CF787F7" w14:textId="6ECC8456" w:rsidR="00B00B45" w:rsidRPr="009F6A91" w:rsidRDefault="00DD775E" w:rsidP="00B52910">
            <w:pPr>
              <w:pStyle w:val="ListParagraph"/>
              <w:numPr>
                <w:ilvl w:val="0"/>
                <w:numId w:val="8"/>
              </w:numPr>
              <w:rPr>
                <w:sz w:val="22"/>
                <w:szCs w:val="22"/>
              </w:rPr>
            </w:pPr>
            <w:r w:rsidRPr="009F6A91">
              <w:rPr>
                <w:sz w:val="22"/>
                <w:szCs w:val="22"/>
              </w:rPr>
              <w:t>p</w:t>
            </w:r>
            <w:r w:rsidR="00B00B45" w:rsidRPr="009F6A91">
              <w:rPr>
                <w:sz w:val="22"/>
                <w:szCs w:val="22"/>
              </w:rPr>
              <w:t>romot</w:t>
            </w:r>
            <w:r w:rsidRPr="009F6A91">
              <w:rPr>
                <w:sz w:val="22"/>
                <w:szCs w:val="22"/>
              </w:rPr>
              <w:t>e</w:t>
            </w:r>
            <w:r w:rsidR="00B00B45" w:rsidRPr="009F6A91">
              <w:rPr>
                <w:sz w:val="22"/>
                <w:szCs w:val="22"/>
              </w:rPr>
              <w:t xml:space="preserve"> resources to support caring</w:t>
            </w:r>
          </w:p>
          <w:p w14:paraId="1F07E426" w14:textId="36FDBFC5" w:rsidR="00555C70" w:rsidRPr="009F6A91" w:rsidRDefault="00DD775E" w:rsidP="00B52910">
            <w:pPr>
              <w:pStyle w:val="ListParagraph"/>
              <w:numPr>
                <w:ilvl w:val="0"/>
                <w:numId w:val="8"/>
              </w:numPr>
              <w:rPr>
                <w:sz w:val="22"/>
                <w:szCs w:val="22"/>
              </w:rPr>
            </w:pPr>
            <w:r w:rsidRPr="009F6A91">
              <w:rPr>
                <w:sz w:val="22"/>
                <w:szCs w:val="22"/>
              </w:rPr>
              <w:t>maximise o</w:t>
            </w:r>
            <w:r w:rsidR="008E5C0B" w:rsidRPr="009F6A91">
              <w:rPr>
                <w:sz w:val="22"/>
                <w:szCs w:val="22"/>
              </w:rPr>
              <w:t>pportunities</w:t>
            </w:r>
            <w:r w:rsidR="00555C70" w:rsidRPr="009F6A91">
              <w:rPr>
                <w:sz w:val="22"/>
                <w:szCs w:val="22"/>
              </w:rPr>
              <w:t xml:space="preserve"> to share knowledge and mentor others</w:t>
            </w:r>
            <w:r w:rsidRPr="009F6A91">
              <w:rPr>
                <w:sz w:val="22"/>
                <w:szCs w:val="22"/>
              </w:rPr>
              <w:t>.</w:t>
            </w:r>
          </w:p>
        </w:tc>
      </w:tr>
      <w:tr w:rsidR="00C71A02" w:rsidRPr="009F6A91" w14:paraId="6853289C" w14:textId="77777777" w:rsidTr="001B0EFA">
        <w:trPr>
          <w:trHeight w:val="1764"/>
        </w:trPr>
        <w:tc>
          <w:tcPr>
            <w:tcW w:w="4106" w:type="dxa"/>
          </w:tcPr>
          <w:p w14:paraId="2F44FE82" w14:textId="38B5C15C" w:rsidR="00C71A02" w:rsidRPr="009F6A91" w:rsidRDefault="00B00B45" w:rsidP="00C71A02">
            <w:pPr>
              <w:rPr>
                <w:sz w:val="22"/>
                <w:szCs w:val="22"/>
              </w:rPr>
            </w:pPr>
            <w:r w:rsidRPr="009F6A91">
              <w:rPr>
                <w:sz w:val="22"/>
                <w:szCs w:val="22"/>
              </w:rPr>
              <w:t>Health and diversity</w:t>
            </w:r>
          </w:p>
        </w:tc>
        <w:tc>
          <w:tcPr>
            <w:tcW w:w="4961" w:type="dxa"/>
            <w:shd w:val="clear" w:color="auto" w:fill="auto"/>
          </w:tcPr>
          <w:p w14:paraId="5267FD83" w14:textId="3FB2AB07" w:rsidR="00C71A02" w:rsidRPr="009F6A91" w:rsidRDefault="00DD775E" w:rsidP="00E51FC4">
            <w:pPr>
              <w:pStyle w:val="ListParagraph"/>
              <w:numPr>
                <w:ilvl w:val="0"/>
                <w:numId w:val="11"/>
              </w:numPr>
              <w:rPr>
                <w:sz w:val="22"/>
                <w:szCs w:val="22"/>
              </w:rPr>
            </w:pPr>
            <w:r w:rsidRPr="009F6A91">
              <w:rPr>
                <w:sz w:val="22"/>
                <w:szCs w:val="22"/>
              </w:rPr>
              <w:t>c</w:t>
            </w:r>
            <w:r w:rsidR="00B00B45" w:rsidRPr="009F6A91">
              <w:rPr>
                <w:sz w:val="22"/>
                <w:szCs w:val="22"/>
              </w:rPr>
              <w:t>ollaborate on implementing the Aboriginal Health Strategic Plan of Sydney Local Health District</w:t>
            </w:r>
          </w:p>
          <w:p w14:paraId="4498F506" w14:textId="007CEAA6" w:rsidR="00B00B45" w:rsidRPr="009F6A91" w:rsidRDefault="00DD775E" w:rsidP="00E51FC4">
            <w:pPr>
              <w:pStyle w:val="ListParagraph"/>
              <w:numPr>
                <w:ilvl w:val="0"/>
                <w:numId w:val="11"/>
              </w:numPr>
              <w:rPr>
                <w:sz w:val="22"/>
                <w:szCs w:val="22"/>
              </w:rPr>
            </w:pPr>
            <w:r w:rsidRPr="009F6A91">
              <w:rPr>
                <w:sz w:val="22"/>
                <w:szCs w:val="22"/>
              </w:rPr>
              <w:t>p</w:t>
            </w:r>
            <w:r w:rsidR="00B00B45" w:rsidRPr="009F6A91">
              <w:rPr>
                <w:sz w:val="22"/>
                <w:szCs w:val="22"/>
              </w:rPr>
              <w:t>rovi</w:t>
            </w:r>
            <w:r w:rsidRPr="009F6A91">
              <w:rPr>
                <w:sz w:val="22"/>
                <w:szCs w:val="22"/>
              </w:rPr>
              <w:t>de</w:t>
            </w:r>
            <w:r w:rsidR="00B00B45" w:rsidRPr="009F6A91">
              <w:rPr>
                <w:sz w:val="22"/>
                <w:szCs w:val="22"/>
              </w:rPr>
              <w:t xml:space="preserve"> cultural awareness training for staff</w:t>
            </w:r>
          </w:p>
          <w:p w14:paraId="14CA1CB7" w14:textId="5342885E" w:rsidR="00B00B45" w:rsidRPr="009F6A91" w:rsidRDefault="00DD775E" w:rsidP="00E51FC4">
            <w:pPr>
              <w:pStyle w:val="ListParagraph"/>
              <w:numPr>
                <w:ilvl w:val="0"/>
                <w:numId w:val="11"/>
              </w:numPr>
              <w:rPr>
                <w:sz w:val="22"/>
                <w:szCs w:val="22"/>
              </w:rPr>
            </w:pPr>
            <w:r w:rsidRPr="009F6A91">
              <w:rPr>
                <w:sz w:val="22"/>
                <w:szCs w:val="22"/>
              </w:rPr>
              <w:t>s</w:t>
            </w:r>
            <w:r w:rsidR="00B00B45" w:rsidRPr="009F6A91">
              <w:rPr>
                <w:sz w:val="22"/>
                <w:szCs w:val="22"/>
              </w:rPr>
              <w:t>upport the sustainability of groups of seniors from culturally and linguistically diverse backgrounds</w:t>
            </w:r>
          </w:p>
          <w:p w14:paraId="74512707" w14:textId="6AACCFF0" w:rsidR="00B00B45" w:rsidRPr="009F6A91" w:rsidRDefault="00DD775E" w:rsidP="00E51FC4">
            <w:pPr>
              <w:pStyle w:val="ListParagraph"/>
              <w:numPr>
                <w:ilvl w:val="0"/>
                <w:numId w:val="3"/>
              </w:numPr>
              <w:rPr>
                <w:sz w:val="22"/>
                <w:szCs w:val="22"/>
              </w:rPr>
            </w:pPr>
            <w:r w:rsidRPr="009F6A91">
              <w:rPr>
                <w:sz w:val="22"/>
                <w:szCs w:val="22"/>
              </w:rPr>
              <w:t>i</w:t>
            </w:r>
            <w:r w:rsidR="00B00B45" w:rsidRPr="009F6A91">
              <w:rPr>
                <w:sz w:val="22"/>
                <w:szCs w:val="22"/>
              </w:rPr>
              <w:t>mprove capacity to engage in a culturally sensitive way with LGBTIQ+ people</w:t>
            </w:r>
            <w:r w:rsidRPr="009F6A91">
              <w:rPr>
                <w:sz w:val="22"/>
                <w:szCs w:val="22"/>
              </w:rPr>
              <w:t>.</w:t>
            </w:r>
          </w:p>
        </w:tc>
      </w:tr>
      <w:bookmarkEnd w:id="12"/>
    </w:tbl>
    <w:p w14:paraId="3C572867" w14:textId="76B5D6A6" w:rsidR="00C4292C" w:rsidRDefault="00C4292C" w:rsidP="00CB6444"/>
    <w:p w14:paraId="307C0FE5" w14:textId="725F8558" w:rsidR="00C4292C" w:rsidRPr="00C4292C" w:rsidRDefault="00C4292C" w:rsidP="00C4292C">
      <w:pPr>
        <w:pStyle w:val="Heading2"/>
        <w:rPr>
          <w:rFonts w:ascii="Arial" w:hAnsi="Arial" w:cs="Arial"/>
          <w:color w:val="auto"/>
          <w:sz w:val="22"/>
          <w:szCs w:val="22"/>
        </w:rPr>
      </w:pPr>
      <w:bookmarkStart w:id="13" w:name="_Toc71633300"/>
      <w:r w:rsidRPr="00C4292C">
        <w:rPr>
          <w:rFonts w:ascii="Arial" w:hAnsi="Arial" w:cs="Arial"/>
          <w:color w:val="auto"/>
          <w:sz w:val="22"/>
          <w:szCs w:val="22"/>
        </w:rPr>
        <w:t>What is Council currently doing?</w:t>
      </w:r>
      <w:bookmarkEnd w:id="13"/>
    </w:p>
    <w:p w14:paraId="79FC3132" w14:textId="5AF85063" w:rsidR="0098277B" w:rsidRDefault="0098277B" w:rsidP="00CB6444"/>
    <w:p w14:paraId="7CD32F01" w14:textId="77777777" w:rsidR="0098277B" w:rsidRPr="003743C0" w:rsidRDefault="0098277B" w:rsidP="003743C0">
      <w:pPr>
        <w:rPr>
          <w:rFonts w:ascii="Calibri" w:hAnsi="Calibri" w:cs="Calibri"/>
        </w:rPr>
      </w:pPr>
      <w:r>
        <w:t xml:space="preserve">Council has invested significantly in promoting and supporting Healthy Ageing, key highlights have included: </w:t>
      </w:r>
    </w:p>
    <w:p w14:paraId="4CBF46C1" w14:textId="1B6B4733"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Health and wellbeing education and programs for seniors in collaboration with libraries, Hannaford Centre, community partners such as Services Australia, Trustee and Guardian, Sydney Local Health District, </w:t>
      </w:r>
      <w:r w:rsidR="003743C0">
        <w:rPr>
          <w:rFonts w:eastAsia="Times New Roman"/>
        </w:rPr>
        <w:t xml:space="preserve">and </w:t>
      </w:r>
      <w:r>
        <w:rPr>
          <w:rFonts w:eastAsia="Times New Roman"/>
        </w:rPr>
        <w:t xml:space="preserve">Uniting </w:t>
      </w:r>
    </w:p>
    <w:p w14:paraId="610A2AA9" w14:textId="77777777" w:rsidR="0098277B" w:rsidRDefault="0098277B" w:rsidP="0098277B">
      <w:pPr>
        <w:pStyle w:val="ListParagraph"/>
      </w:pPr>
    </w:p>
    <w:p w14:paraId="5E137959" w14:textId="7343E5F0"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Active and Connected: A suite of recreational, fitness, arts and wellbeing activities, bus outings and programs designed to promote and encourage healthy</w:t>
      </w:r>
      <w:r w:rsidR="003743C0">
        <w:rPr>
          <w:rFonts w:eastAsia="Times New Roman"/>
        </w:rPr>
        <w:t xml:space="preserve"> </w:t>
      </w:r>
      <w:r>
        <w:rPr>
          <w:rFonts w:eastAsia="Times New Roman"/>
        </w:rPr>
        <w:t>ageing. Collaborative development and delivery of programs by Council’s Aquatic Centres, Community Centres, Sport and Recreational Unit, Healthy Ageing Team and Library services</w:t>
      </w:r>
    </w:p>
    <w:p w14:paraId="2C233103" w14:textId="77777777" w:rsidR="0098277B" w:rsidRDefault="0098277B" w:rsidP="0098277B">
      <w:pPr>
        <w:pStyle w:val="ListParagraph"/>
      </w:pPr>
    </w:p>
    <w:p w14:paraId="5D1C0639"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Actively support and participate in key advocacy and awareness raising initiatives and networks specific to older people, including Coalition of End of Loneliness, Elder Abuse Collaboration, Multicultural Network, Dementia Alliance, Anti-Ageism campaigns</w:t>
      </w:r>
    </w:p>
    <w:p w14:paraId="17279326" w14:textId="77777777" w:rsidR="0098277B" w:rsidRDefault="0098277B" w:rsidP="0098277B">
      <w:pPr>
        <w:pStyle w:val="ListParagraph"/>
      </w:pPr>
    </w:p>
    <w:p w14:paraId="6444D57F"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Supporting volunteer led initiatives such as HOPE Lunch, Women’s Shed and Coffee Clubs</w:t>
      </w:r>
    </w:p>
    <w:p w14:paraId="3FBF47EC" w14:textId="77777777" w:rsidR="0098277B" w:rsidRDefault="0098277B" w:rsidP="0098277B">
      <w:pPr>
        <w:pStyle w:val="ListParagraph"/>
      </w:pPr>
    </w:p>
    <w:p w14:paraId="2836F9F5"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Employment of Healthy Ageing Programs staff dedicated to championing the voices, </w:t>
      </w:r>
      <w:proofErr w:type="gramStart"/>
      <w:r>
        <w:rPr>
          <w:rFonts w:eastAsia="Times New Roman"/>
        </w:rPr>
        <w:t>aspirations</w:t>
      </w:r>
      <w:proofErr w:type="gramEnd"/>
      <w:r>
        <w:rPr>
          <w:rFonts w:eastAsia="Times New Roman"/>
        </w:rPr>
        <w:t xml:space="preserve"> and inclusion of seniors</w:t>
      </w:r>
    </w:p>
    <w:p w14:paraId="602001F2" w14:textId="77777777" w:rsidR="0098277B" w:rsidRDefault="0098277B" w:rsidP="0098277B">
      <w:pPr>
        <w:pStyle w:val="ListParagraph"/>
      </w:pPr>
    </w:p>
    <w:p w14:paraId="46F787DE" w14:textId="7BF7551F" w:rsidR="0098277B" w:rsidRDefault="003743C0" w:rsidP="0098277B">
      <w:pPr>
        <w:pStyle w:val="ListParagraph"/>
        <w:numPr>
          <w:ilvl w:val="0"/>
          <w:numId w:val="3"/>
        </w:numPr>
        <w:spacing w:after="0" w:line="240" w:lineRule="auto"/>
        <w:contextualSpacing w:val="0"/>
        <w:rPr>
          <w:rFonts w:eastAsia="Times New Roman"/>
        </w:rPr>
      </w:pPr>
      <w:r>
        <w:rPr>
          <w:rFonts w:eastAsia="Times New Roman"/>
        </w:rPr>
        <w:t>Publication</w:t>
      </w:r>
      <w:r w:rsidR="0098277B">
        <w:rPr>
          <w:rFonts w:eastAsia="Times New Roman"/>
        </w:rPr>
        <w:t xml:space="preserve"> of a Seniors Directory</w:t>
      </w:r>
    </w:p>
    <w:p w14:paraId="21241928" w14:textId="77777777" w:rsidR="0098277B" w:rsidRDefault="0098277B" w:rsidP="0098277B">
      <w:pPr>
        <w:pStyle w:val="ListParagraph"/>
      </w:pPr>
    </w:p>
    <w:p w14:paraId="00E5CE47"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Annual events such as Seniors festival, Grandparents day, Mental Health Month delivered in collaboration with local community organisations, businesses, </w:t>
      </w:r>
      <w:proofErr w:type="gramStart"/>
      <w:r>
        <w:rPr>
          <w:rFonts w:eastAsia="Times New Roman"/>
        </w:rPr>
        <w:t>artists</w:t>
      </w:r>
      <w:proofErr w:type="gramEnd"/>
      <w:r>
        <w:rPr>
          <w:rFonts w:eastAsia="Times New Roman"/>
        </w:rPr>
        <w:t xml:space="preserve"> and multicultural networks</w:t>
      </w:r>
    </w:p>
    <w:p w14:paraId="0B273CDB" w14:textId="77777777" w:rsidR="0098277B" w:rsidRDefault="0098277B" w:rsidP="0098277B">
      <w:pPr>
        <w:pStyle w:val="ListParagraph"/>
      </w:pPr>
    </w:p>
    <w:p w14:paraId="7B5666D6"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Council Libraries host Healthy Ageing and Wellbeing Workshops and Talks, including the History and Speaker Series, designed to explore ageing in today’s world</w:t>
      </w:r>
    </w:p>
    <w:p w14:paraId="3CB41DCF" w14:textId="77777777" w:rsidR="0098277B" w:rsidRDefault="0098277B" w:rsidP="0098277B">
      <w:pPr>
        <w:pStyle w:val="ListParagraph"/>
      </w:pPr>
    </w:p>
    <w:p w14:paraId="64E86C62"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The Hannaford Centre, a Council funded Community Centre, offering diverse activities and programs for seniors living in the Inner West</w:t>
      </w:r>
    </w:p>
    <w:p w14:paraId="4392D1CE" w14:textId="77777777" w:rsidR="0098277B" w:rsidRDefault="0098277B" w:rsidP="0098277B">
      <w:pPr>
        <w:pStyle w:val="ListParagraph"/>
      </w:pPr>
    </w:p>
    <w:p w14:paraId="72879C62"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Establishment of Dementia Cafes, designed to create an inclusive social support network for older people living with dementia and their family / carers</w:t>
      </w:r>
    </w:p>
    <w:p w14:paraId="57873F8E" w14:textId="77777777" w:rsidR="0098277B" w:rsidRDefault="0098277B" w:rsidP="0098277B">
      <w:pPr>
        <w:pStyle w:val="ListParagraph"/>
      </w:pPr>
    </w:p>
    <w:p w14:paraId="7A9E1069"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Promoting and supporting the role out of pilot programs and new initiatives designed to increase social inclusion for older people from linguistically diverse background. Recent examples include the My Aged Care Navigator Support Program developed by COTA for Chinese speaking community in Ashfield. </w:t>
      </w:r>
    </w:p>
    <w:p w14:paraId="1CE88694" w14:textId="77777777" w:rsidR="0098277B" w:rsidRDefault="0098277B" w:rsidP="0098277B">
      <w:pPr>
        <w:pStyle w:val="ListParagraph"/>
      </w:pPr>
    </w:p>
    <w:p w14:paraId="1F7FAE1D"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Facilitate Seniors Local Democracy Working Group, providing local senior residents an avenue to contribute ideas and provide feedback to Council on issues and projects pertaining to healthy ageing</w:t>
      </w:r>
    </w:p>
    <w:p w14:paraId="004759EB" w14:textId="77777777" w:rsidR="0098277B" w:rsidRDefault="0098277B" w:rsidP="0098277B">
      <w:pPr>
        <w:pStyle w:val="ListParagraph"/>
      </w:pPr>
    </w:p>
    <w:p w14:paraId="4C513582" w14:textId="5A898E2E"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Grants: Council’s Community Wellbeing, Recreation, </w:t>
      </w:r>
      <w:proofErr w:type="gramStart"/>
      <w:r>
        <w:rPr>
          <w:rFonts w:eastAsia="Times New Roman"/>
        </w:rPr>
        <w:t>Environmental  and</w:t>
      </w:r>
      <w:proofErr w:type="gramEnd"/>
      <w:r>
        <w:rPr>
          <w:rFonts w:eastAsia="Times New Roman"/>
        </w:rPr>
        <w:t xml:space="preserve"> Arts grants include the funding of programs, services and collaborations specific to older people in the community</w:t>
      </w:r>
    </w:p>
    <w:p w14:paraId="627E8B5A" w14:textId="77777777" w:rsidR="0098277B" w:rsidRDefault="0098277B" w:rsidP="0098277B">
      <w:pPr>
        <w:pStyle w:val="ListParagraph"/>
      </w:pPr>
    </w:p>
    <w:p w14:paraId="2BB4DCBB"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Get Connected Stay Connected: A suite of online workshops and social support groups developed by Council in partnership with SLHD and designed for older people isolated during </w:t>
      </w:r>
      <w:proofErr w:type="spellStart"/>
      <w:r>
        <w:rPr>
          <w:rFonts w:eastAsia="Times New Roman"/>
        </w:rPr>
        <w:t>Covid</w:t>
      </w:r>
      <w:proofErr w:type="spellEnd"/>
      <w:r>
        <w:rPr>
          <w:rFonts w:eastAsia="Times New Roman"/>
        </w:rPr>
        <w:t xml:space="preserve"> -19. This program has included the development of a Train </w:t>
      </w:r>
      <w:proofErr w:type="gramStart"/>
      <w:r>
        <w:rPr>
          <w:rFonts w:eastAsia="Times New Roman"/>
        </w:rPr>
        <w:t>The</w:t>
      </w:r>
      <w:proofErr w:type="gramEnd"/>
      <w:r>
        <w:rPr>
          <w:rFonts w:eastAsia="Times New Roman"/>
        </w:rPr>
        <w:t xml:space="preserve"> Trainer training package for community organisations and health professionals to deliver these social connection groups in their local communities </w:t>
      </w:r>
      <w:proofErr w:type="spellStart"/>
      <w:r>
        <w:rPr>
          <w:rFonts w:eastAsia="Times New Roman"/>
        </w:rPr>
        <w:t>eg.</w:t>
      </w:r>
      <w:proofErr w:type="spellEnd"/>
      <w:r>
        <w:rPr>
          <w:rFonts w:eastAsia="Times New Roman"/>
        </w:rPr>
        <w:t xml:space="preserve"> those from culturally and linguistically diverse backgrounds, Carers of People with Dementia, People Living with Dementia, and Aboriginal and Torres Strait Islander residents</w:t>
      </w:r>
    </w:p>
    <w:p w14:paraId="5484AE06" w14:textId="77777777" w:rsidR="0098277B" w:rsidRDefault="0098277B" w:rsidP="0098277B">
      <w:pPr>
        <w:pStyle w:val="ListParagraph"/>
      </w:pPr>
    </w:p>
    <w:p w14:paraId="01150FF3" w14:textId="77777777" w:rsidR="0098277B" w:rsidRDefault="0098277B" w:rsidP="0098277B">
      <w:pPr>
        <w:pStyle w:val="ListParagraph"/>
        <w:numPr>
          <w:ilvl w:val="0"/>
          <w:numId w:val="3"/>
        </w:numPr>
        <w:spacing w:after="0" w:line="240" w:lineRule="auto"/>
        <w:contextualSpacing w:val="0"/>
        <w:rPr>
          <w:rFonts w:eastAsia="Times New Roman"/>
        </w:rPr>
      </w:pPr>
      <w:proofErr w:type="gramStart"/>
      <w:r>
        <w:rPr>
          <w:rFonts w:eastAsia="Times New Roman"/>
        </w:rPr>
        <w:t>Connected :</w:t>
      </w:r>
      <w:proofErr w:type="gramEnd"/>
      <w:r>
        <w:rPr>
          <w:rFonts w:eastAsia="Times New Roman"/>
        </w:rPr>
        <w:t xml:space="preserve"> Art Exhibition involving participants of the Get Connected Stay Connected programs and other local art groups supported and funded by Council  </w:t>
      </w:r>
    </w:p>
    <w:p w14:paraId="201182BE" w14:textId="77777777" w:rsidR="0098277B" w:rsidRDefault="0098277B" w:rsidP="0098277B">
      <w:pPr>
        <w:pStyle w:val="ListParagraph"/>
      </w:pPr>
    </w:p>
    <w:p w14:paraId="5AD185F8"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Facilitation of the Aged Care Services Interagency network, a network of services working with older people and their carers who promote and support and advocate for the provision of support services and social inclusion for residents over 65 years old</w:t>
      </w:r>
    </w:p>
    <w:p w14:paraId="330D635C" w14:textId="77777777" w:rsidR="0098277B" w:rsidRDefault="0098277B" w:rsidP="0098277B">
      <w:pPr>
        <w:pStyle w:val="ListParagraph"/>
      </w:pPr>
    </w:p>
    <w:p w14:paraId="23A97D91" w14:textId="77777777" w:rsidR="0098277B" w:rsidRDefault="0098277B" w:rsidP="0098277B">
      <w:pPr>
        <w:pStyle w:val="ListParagraph"/>
        <w:numPr>
          <w:ilvl w:val="0"/>
          <w:numId w:val="3"/>
        </w:numPr>
        <w:spacing w:after="0" w:line="240" w:lineRule="auto"/>
        <w:contextualSpacing w:val="0"/>
        <w:rPr>
          <w:rFonts w:eastAsia="Times New Roman"/>
        </w:rPr>
      </w:pPr>
      <w:r>
        <w:rPr>
          <w:rFonts w:eastAsia="Times New Roman"/>
        </w:rPr>
        <w:t xml:space="preserve">Provision of Social Support, Meals on </w:t>
      </w:r>
      <w:proofErr w:type="gramStart"/>
      <w:r>
        <w:rPr>
          <w:rFonts w:eastAsia="Times New Roman"/>
        </w:rPr>
        <w:t>Wheels</w:t>
      </w:r>
      <w:proofErr w:type="gramEnd"/>
      <w:r>
        <w:rPr>
          <w:rFonts w:eastAsia="Times New Roman"/>
        </w:rPr>
        <w:t xml:space="preserve"> and Aged Care Home Care support services as part of the Commonwealth Home Care Support Funding and Service provision.</w:t>
      </w:r>
    </w:p>
    <w:p w14:paraId="4CF43E53" w14:textId="386E99F6" w:rsidR="008958F0" w:rsidRDefault="008958F0" w:rsidP="000F5FDE">
      <w:pPr>
        <w:pStyle w:val="Heading2"/>
        <w:rPr>
          <w:rFonts w:ascii="Arial" w:hAnsi="Arial" w:cs="Arial"/>
          <w:color w:val="auto"/>
          <w:sz w:val="22"/>
          <w:szCs w:val="22"/>
        </w:rPr>
      </w:pPr>
      <w:bookmarkStart w:id="14" w:name="_Toc71633301"/>
      <w:r w:rsidRPr="000F5FDE">
        <w:rPr>
          <w:rFonts w:ascii="Arial" w:hAnsi="Arial" w:cs="Arial"/>
          <w:color w:val="auto"/>
          <w:sz w:val="22"/>
          <w:szCs w:val="22"/>
        </w:rPr>
        <w:t>Implementation of the Healthy Ageing Strategy</w:t>
      </w:r>
      <w:bookmarkEnd w:id="14"/>
    </w:p>
    <w:p w14:paraId="061540AC" w14:textId="77777777" w:rsidR="000F5FDE" w:rsidRPr="000F5FDE" w:rsidRDefault="000F5FDE" w:rsidP="000F5FDE"/>
    <w:p w14:paraId="102BE4CC" w14:textId="77777777" w:rsidR="00A0146A" w:rsidRDefault="008958F0" w:rsidP="008958F0">
      <w:r>
        <w:t xml:space="preserve">Implementation of the Strategy will be embedded in Council’s Integrated Planning and Reporting Framework and timelines, to ensure that priorities are included in the long-term planning and short-term delivery of Council’s projects and programs. </w:t>
      </w:r>
    </w:p>
    <w:p w14:paraId="1332C3F5" w14:textId="57BCE3A9" w:rsidR="008958F0" w:rsidRDefault="008958F0" w:rsidP="008958F0">
      <w:r>
        <w:t xml:space="preserve">Longer term outcomes will be in the Delivery Program which is a four-year document that aligns with the term of the elected Council. Each year priorities will be detailed in Council’s one-year Operational Plan and these will be reported to Council and the community through the Quarterly Reporting process. Council will also create measures and targets that will be used to demonstrate Councils’ progress against service delivery and will ascertain whether Council is moving towards or away from the communities’ priorities as outlined in </w:t>
      </w:r>
      <w:r w:rsidRPr="00A0146A">
        <w:rPr>
          <w:i/>
          <w:iCs/>
        </w:rPr>
        <w:t>Our Inner West 2036</w:t>
      </w:r>
      <w:r>
        <w:t>.</w:t>
      </w:r>
    </w:p>
    <w:p w14:paraId="6D5770B0" w14:textId="1AF2E0F9" w:rsidR="0098277B" w:rsidRDefault="0098277B">
      <w:r>
        <w:br w:type="page"/>
      </w:r>
    </w:p>
    <w:p w14:paraId="72AD71A4" w14:textId="77777777" w:rsidR="00E30B55" w:rsidRDefault="00E30B55" w:rsidP="008958F0"/>
    <w:p w14:paraId="5B454117" w14:textId="6818DFDE" w:rsidR="009F69EA" w:rsidRPr="003743C0" w:rsidRDefault="009F69EA" w:rsidP="00AD2F7A">
      <w:pPr>
        <w:pStyle w:val="Heading1"/>
        <w:rPr>
          <w:rFonts w:ascii="Arial" w:hAnsi="Arial" w:cs="Arial"/>
          <w:color w:val="000000" w:themeColor="text1"/>
        </w:rPr>
      </w:pPr>
      <w:bookmarkStart w:id="15" w:name="_Toc71633302"/>
      <w:r w:rsidRPr="003743C0">
        <w:rPr>
          <w:rFonts w:ascii="Arial" w:hAnsi="Arial" w:cs="Arial"/>
          <w:color w:val="000000" w:themeColor="text1"/>
        </w:rPr>
        <w:t>Appendix 1</w:t>
      </w:r>
      <w:bookmarkEnd w:id="15"/>
    </w:p>
    <w:p w14:paraId="0ADEE860" w14:textId="77777777" w:rsidR="009F69EA" w:rsidRDefault="009F69EA" w:rsidP="009F69EA">
      <w:pPr>
        <w:pStyle w:val="BodyText"/>
        <w:spacing w:before="6"/>
        <w:rPr>
          <w:b/>
          <w:sz w:val="28"/>
        </w:rPr>
      </w:pPr>
    </w:p>
    <w:p w14:paraId="24855643" w14:textId="77777777" w:rsidR="009F69EA" w:rsidRPr="009F69EA" w:rsidRDefault="009F69EA" w:rsidP="009F69EA">
      <w:pPr>
        <w:pStyle w:val="Heading2"/>
        <w:rPr>
          <w:rFonts w:ascii="Arial" w:hAnsi="Arial" w:cs="Arial"/>
          <w:color w:val="auto"/>
          <w:sz w:val="22"/>
          <w:szCs w:val="22"/>
        </w:rPr>
      </w:pPr>
      <w:bookmarkStart w:id="16" w:name="_Toc71633303"/>
      <w:r w:rsidRPr="009F69EA">
        <w:rPr>
          <w:rFonts w:ascii="Arial" w:hAnsi="Arial" w:cs="Arial"/>
          <w:color w:val="auto"/>
          <w:sz w:val="22"/>
          <w:szCs w:val="22"/>
        </w:rPr>
        <w:t>Inner West Council’s Integrated Planning and Reporting Framework</w:t>
      </w:r>
      <w:bookmarkEnd w:id="16"/>
    </w:p>
    <w:p w14:paraId="2A4B0256" w14:textId="77777777" w:rsidR="009F69EA" w:rsidRDefault="009F69EA" w:rsidP="009F69EA">
      <w:pPr>
        <w:spacing w:before="1"/>
        <w:ind w:left="100"/>
        <w:rPr>
          <w:b/>
        </w:rPr>
      </w:pPr>
    </w:p>
    <w:p w14:paraId="1AA56759" w14:textId="77777777" w:rsidR="009F69EA" w:rsidRDefault="009F69EA" w:rsidP="009F69EA">
      <w:pPr>
        <w:rPr>
          <w:color w:val="000000" w:themeColor="text1"/>
        </w:rPr>
      </w:pPr>
      <w:r w:rsidRPr="003C48EF">
        <w:rPr>
          <w:color w:val="000000" w:themeColor="text1"/>
        </w:rPr>
        <w:t xml:space="preserve">Under the NSW Local Government Act 1993, councils are required to develop a hierarchy of plans known as the Integrated Planning and Reporting (IPR) Framework. This framework assists councils in delivering their community’s vision through long, </w:t>
      </w:r>
      <w:proofErr w:type="gramStart"/>
      <w:r w:rsidRPr="003C48EF">
        <w:rPr>
          <w:color w:val="000000" w:themeColor="text1"/>
        </w:rPr>
        <w:t>medium</w:t>
      </w:r>
      <w:proofErr w:type="gramEnd"/>
      <w:r w:rsidRPr="003C48EF">
        <w:rPr>
          <w:color w:val="000000" w:themeColor="text1"/>
        </w:rPr>
        <w:t xml:space="preserve"> and short-term plans.</w:t>
      </w:r>
    </w:p>
    <w:p w14:paraId="567A8D75" w14:textId="57DF007A" w:rsidR="009F69EA" w:rsidRDefault="00BA7372" w:rsidP="009F69EA">
      <w:pPr>
        <w:rPr>
          <w:color w:val="000000" w:themeColor="text1"/>
        </w:rPr>
      </w:pPr>
      <w:r>
        <w:rPr>
          <w:color w:val="000000" w:themeColor="text1"/>
        </w:rPr>
        <w:t xml:space="preserve">Diagram of in the Integrated Planning Framework showing the relationship between Federal, </w:t>
      </w:r>
      <w:proofErr w:type="gramStart"/>
      <w:r>
        <w:rPr>
          <w:color w:val="000000" w:themeColor="text1"/>
        </w:rPr>
        <w:t>State</w:t>
      </w:r>
      <w:proofErr w:type="gramEnd"/>
      <w:r>
        <w:rPr>
          <w:color w:val="000000" w:themeColor="text1"/>
        </w:rPr>
        <w:t xml:space="preserve"> and regional strategies and plans and how they affect the Corporate reporting structure of the Community Strategic Plan, strategies, resourcing, monitoring and delivery of the </w:t>
      </w:r>
      <w:r w:rsidR="00AE6C95">
        <w:rPr>
          <w:color w:val="000000" w:themeColor="text1"/>
        </w:rPr>
        <w:t>four-year</w:t>
      </w:r>
      <w:r>
        <w:rPr>
          <w:color w:val="000000" w:themeColor="text1"/>
        </w:rPr>
        <w:t xml:space="preserve"> action plan.</w:t>
      </w:r>
    </w:p>
    <w:p w14:paraId="3691B053" w14:textId="77777777" w:rsidR="009F69EA" w:rsidRPr="003C48EF" w:rsidRDefault="009F69EA" w:rsidP="009F69EA">
      <w:pPr>
        <w:rPr>
          <w:color w:val="000000" w:themeColor="text1"/>
        </w:rPr>
      </w:pPr>
      <w:r>
        <w:rPr>
          <w:noProof/>
          <w:sz w:val="20"/>
        </w:rPr>
        <w:drawing>
          <wp:inline distT="0" distB="0" distL="0" distR="0" wp14:anchorId="6A43FB1D" wp14:editId="4D0571B5">
            <wp:extent cx="5124450" cy="5183885"/>
            <wp:effectExtent l="0" t="0" r="0" b="0"/>
            <wp:docPr id="6" name="image2.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135040" cy="5194598"/>
                    </a:xfrm>
                    <a:prstGeom prst="rect">
                      <a:avLst/>
                    </a:prstGeom>
                  </pic:spPr>
                </pic:pic>
              </a:graphicData>
            </a:graphic>
          </wp:inline>
        </w:drawing>
      </w:r>
    </w:p>
    <w:p w14:paraId="0E262C6F" w14:textId="77777777" w:rsidR="009F69EA" w:rsidRPr="003C48EF" w:rsidRDefault="009F69EA" w:rsidP="009F69EA">
      <w:pPr>
        <w:rPr>
          <w:color w:val="000000" w:themeColor="text1"/>
        </w:rPr>
      </w:pPr>
    </w:p>
    <w:p w14:paraId="69834E5A" w14:textId="77777777" w:rsidR="009F69EA" w:rsidRPr="003C48EF" w:rsidRDefault="009F69EA" w:rsidP="009F69EA">
      <w:pPr>
        <w:rPr>
          <w:color w:val="000000" w:themeColor="text1"/>
        </w:rPr>
      </w:pPr>
      <w:r w:rsidRPr="003C48EF">
        <w:rPr>
          <w:color w:val="000000" w:themeColor="text1"/>
        </w:rPr>
        <w:t>The purpose of the framework was to formalise strategic and resource planning across NSW councils and ensure long term planning is based on community engagement leading to a more sustainable local government sector.</w:t>
      </w:r>
    </w:p>
    <w:p w14:paraId="6D61BD17" w14:textId="77777777" w:rsidR="009F69EA" w:rsidRPr="003C48EF" w:rsidRDefault="009F69EA" w:rsidP="009F69EA">
      <w:pPr>
        <w:rPr>
          <w:color w:val="000000" w:themeColor="text1"/>
        </w:rPr>
      </w:pPr>
    </w:p>
    <w:p w14:paraId="59A018DC" w14:textId="77777777" w:rsidR="009F69EA" w:rsidRPr="003C48EF" w:rsidRDefault="009F69EA" w:rsidP="009F69EA">
      <w:pPr>
        <w:rPr>
          <w:color w:val="000000" w:themeColor="text1"/>
        </w:rPr>
      </w:pPr>
      <w:r w:rsidRPr="003C48EF">
        <w:rPr>
          <w:color w:val="000000" w:themeColor="text1"/>
        </w:rPr>
        <w:t xml:space="preserve">Implementation of the Healthy Aging Strategy will be embedded in Council’s Integrated Planning and Reporting (IPR) Framework and timelines to ensure that priorities are included in the long-term planning and short-term delivery of Council’s projects and programs. Longer term outcomes will be in the high-level Delivery Program which is a four-year document that aligns with the term of the elected Council. </w:t>
      </w:r>
    </w:p>
    <w:p w14:paraId="6DE69359" w14:textId="77777777" w:rsidR="009F69EA" w:rsidRPr="003C48EF" w:rsidRDefault="009F69EA" w:rsidP="009F69EA">
      <w:pPr>
        <w:rPr>
          <w:color w:val="000000" w:themeColor="text1"/>
        </w:rPr>
      </w:pPr>
    </w:p>
    <w:p w14:paraId="41AFBEF5" w14:textId="77777777" w:rsidR="009F69EA" w:rsidRPr="003C48EF" w:rsidRDefault="009F69EA" w:rsidP="009F69EA">
      <w:pPr>
        <w:rPr>
          <w:color w:val="000000" w:themeColor="text1"/>
        </w:rPr>
      </w:pPr>
      <w:r w:rsidRPr="003C48EF">
        <w:rPr>
          <w:color w:val="000000" w:themeColor="text1"/>
        </w:rPr>
        <w:t>Each year priorities will be detailed as initiatives in Council’s one-year Operational Plan and these will be reported to Council and the community through the Quarterly Reporting process.</w:t>
      </w:r>
    </w:p>
    <w:p w14:paraId="0E3DA023" w14:textId="77777777" w:rsidR="009F69EA" w:rsidRPr="003C48EF" w:rsidRDefault="009F69EA" w:rsidP="009F69EA">
      <w:pPr>
        <w:rPr>
          <w:color w:val="000000" w:themeColor="text1"/>
        </w:rPr>
      </w:pPr>
    </w:p>
    <w:p w14:paraId="6D351E1A" w14:textId="77777777" w:rsidR="009F69EA" w:rsidRPr="003C48EF" w:rsidRDefault="009F69EA" w:rsidP="009F69EA">
      <w:pPr>
        <w:rPr>
          <w:color w:val="000000" w:themeColor="text1"/>
        </w:rPr>
      </w:pPr>
      <w:r w:rsidRPr="003C48EF">
        <w:rPr>
          <w:color w:val="000000" w:themeColor="text1"/>
        </w:rPr>
        <w:t>In addition to these actions, Council will also create efficient and effective measures and targets that will be used to demonstrate Councils’ progress against service delivery and will ascertain whether Council is moving towards or away from the communities’ priorities as outlined in the Community Strategic Plan – Our Inner West 2036.</w:t>
      </w:r>
    </w:p>
    <w:p w14:paraId="29D0BEE9" w14:textId="77777777" w:rsidR="009F69EA" w:rsidRPr="003C48EF" w:rsidRDefault="009F69EA" w:rsidP="009F69EA">
      <w:pPr>
        <w:pStyle w:val="BodyText"/>
        <w:spacing w:before="11"/>
        <w:rPr>
          <w:color w:val="000000" w:themeColor="text1"/>
          <w:sz w:val="21"/>
        </w:rPr>
      </w:pPr>
    </w:p>
    <w:p w14:paraId="4838C709" w14:textId="77777777" w:rsidR="009F69EA" w:rsidRPr="003C48EF" w:rsidRDefault="009F69EA" w:rsidP="009F69EA">
      <w:pPr>
        <w:pStyle w:val="BodyText"/>
        <w:spacing w:before="11"/>
        <w:rPr>
          <w:color w:val="000000" w:themeColor="text1"/>
          <w:sz w:val="21"/>
        </w:rPr>
      </w:pPr>
      <w:r w:rsidRPr="003C48EF">
        <w:rPr>
          <w:color w:val="000000" w:themeColor="text1"/>
          <w:sz w:val="21"/>
        </w:rPr>
        <w:t>Our Inner West 2036 strategic directions and priorities are:</w:t>
      </w:r>
    </w:p>
    <w:p w14:paraId="45388EAB" w14:textId="77777777" w:rsidR="009F69EA" w:rsidRPr="003C48EF" w:rsidRDefault="009F69EA" w:rsidP="009F69EA">
      <w:pPr>
        <w:pStyle w:val="ListParagraph"/>
        <w:widowControl w:val="0"/>
        <w:numPr>
          <w:ilvl w:val="0"/>
          <w:numId w:val="13"/>
        </w:numPr>
        <w:tabs>
          <w:tab w:val="left" w:pos="820"/>
          <w:tab w:val="left" w:pos="821"/>
        </w:tabs>
        <w:autoSpaceDE w:val="0"/>
        <w:autoSpaceDN w:val="0"/>
        <w:spacing w:after="0" w:line="240" w:lineRule="auto"/>
        <w:ind w:hanging="361"/>
        <w:contextualSpacing w:val="0"/>
        <w:rPr>
          <w:color w:val="000000" w:themeColor="text1"/>
        </w:rPr>
      </w:pPr>
      <w:r w:rsidRPr="003C48EF">
        <w:rPr>
          <w:color w:val="000000" w:themeColor="text1"/>
        </w:rPr>
        <w:t>Creative</w:t>
      </w:r>
      <w:r w:rsidRPr="003C48EF">
        <w:rPr>
          <w:color w:val="000000" w:themeColor="text1"/>
          <w:spacing w:val="-3"/>
        </w:rPr>
        <w:t xml:space="preserve"> </w:t>
      </w:r>
      <w:r w:rsidRPr="003C48EF">
        <w:rPr>
          <w:color w:val="000000" w:themeColor="text1"/>
        </w:rPr>
        <w:t>communities</w:t>
      </w:r>
      <w:r w:rsidRPr="003C48EF">
        <w:rPr>
          <w:color w:val="000000" w:themeColor="text1"/>
          <w:spacing w:val="-3"/>
        </w:rPr>
        <w:t xml:space="preserve"> </w:t>
      </w:r>
      <w:r w:rsidRPr="003C48EF">
        <w:rPr>
          <w:color w:val="000000" w:themeColor="text1"/>
        </w:rPr>
        <w:t>and</w:t>
      </w:r>
      <w:r w:rsidRPr="003C48EF">
        <w:rPr>
          <w:color w:val="000000" w:themeColor="text1"/>
          <w:spacing w:val="-2"/>
        </w:rPr>
        <w:t xml:space="preserve"> </w:t>
      </w:r>
      <w:r w:rsidRPr="003C48EF">
        <w:rPr>
          <w:color w:val="000000" w:themeColor="text1"/>
        </w:rPr>
        <w:t>a</w:t>
      </w:r>
      <w:r w:rsidRPr="003C48EF">
        <w:rPr>
          <w:color w:val="000000" w:themeColor="text1"/>
          <w:spacing w:val="-2"/>
        </w:rPr>
        <w:t xml:space="preserve"> </w:t>
      </w:r>
      <w:r w:rsidRPr="003C48EF">
        <w:rPr>
          <w:color w:val="000000" w:themeColor="text1"/>
        </w:rPr>
        <w:t>strong</w:t>
      </w:r>
      <w:r w:rsidRPr="003C48EF">
        <w:rPr>
          <w:color w:val="000000" w:themeColor="text1"/>
          <w:spacing w:val="-4"/>
        </w:rPr>
        <w:t xml:space="preserve"> </w:t>
      </w:r>
      <w:r w:rsidRPr="003C48EF">
        <w:rPr>
          <w:color w:val="000000" w:themeColor="text1"/>
        </w:rPr>
        <w:t>economy</w:t>
      </w:r>
    </w:p>
    <w:p w14:paraId="25C60D44" w14:textId="77777777" w:rsidR="009F69EA" w:rsidRPr="003C48EF" w:rsidRDefault="009F69EA" w:rsidP="009F69EA">
      <w:pPr>
        <w:pStyle w:val="ListParagraph"/>
        <w:widowControl w:val="0"/>
        <w:numPr>
          <w:ilvl w:val="0"/>
          <w:numId w:val="13"/>
        </w:numPr>
        <w:tabs>
          <w:tab w:val="left" w:pos="820"/>
          <w:tab w:val="left" w:pos="821"/>
        </w:tabs>
        <w:autoSpaceDE w:val="0"/>
        <w:autoSpaceDN w:val="0"/>
        <w:spacing w:before="35" w:after="0" w:line="240" w:lineRule="auto"/>
        <w:ind w:hanging="361"/>
        <w:contextualSpacing w:val="0"/>
        <w:rPr>
          <w:color w:val="000000" w:themeColor="text1"/>
        </w:rPr>
      </w:pPr>
      <w:r w:rsidRPr="003C48EF">
        <w:rPr>
          <w:color w:val="000000" w:themeColor="text1"/>
        </w:rPr>
        <w:t>Unique,</w:t>
      </w:r>
      <w:r w:rsidRPr="003C48EF">
        <w:rPr>
          <w:color w:val="000000" w:themeColor="text1"/>
          <w:spacing w:val="-3"/>
        </w:rPr>
        <w:t xml:space="preserve"> </w:t>
      </w:r>
      <w:r w:rsidRPr="003C48EF">
        <w:rPr>
          <w:color w:val="000000" w:themeColor="text1"/>
        </w:rPr>
        <w:t>liveable,</w:t>
      </w:r>
      <w:r w:rsidRPr="003C48EF">
        <w:rPr>
          <w:color w:val="000000" w:themeColor="text1"/>
          <w:spacing w:val="-3"/>
        </w:rPr>
        <w:t xml:space="preserve"> </w:t>
      </w:r>
      <w:r w:rsidRPr="003C48EF">
        <w:rPr>
          <w:color w:val="000000" w:themeColor="text1"/>
        </w:rPr>
        <w:t>networked</w:t>
      </w:r>
      <w:r w:rsidRPr="003C48EF">
        <w:rPr>
          <w:color w:val="000000" w:themeColor="text1"/>
          <w:spacing w:val="-4"/>
        </w:rPr>
        <w:t xml:space="preserve"> </w:t>
      </w:r>
      <w:r w:rsidRPr="003C48EF">
        <w:rPr>
          <w:color w:val="000000" w:themeColor="text1"/>
        </w:rPr>
        <w:t>neighbourhoods</w:t>
      </w:r>
    </w:p>
    <w:p w14:paraId="39F7A6B2" w14:textId="77777777" w:rsidR="009F69EA" w:rsidRPr="003C48EF" w:rsidRDefault="009F69EA" w:rsidP="009F69EA">
      <w:pPr>
        <w:pStyle w:val="ListParagraph"/>
        <w:widowControl w:val="0"/>
        <w:numPr>
          <w:ilvl w:val="0"/>
          <w:numId w:val="13"/>
        </w:numPr>
        <w:tabs>
          <w:tab w:val="left" w:pos="820"/>
          <w:tab w:val="left" w:pos="821"/>
        </w:tabs>
        <w:autoSpaceDE w:val="0"/>
        <w:autoSpaceDN w:val="0"/>
        <w:spacing w:before="38" w:after="0" w:line="240" w:lineRule="auto"/>
        <w:ind w:hanging="361"/>
        <w:contextualSpacing w:val="0"/>
        <w:rPr>
          <w:color w:val="000000" w:themeColor="text1"/>
        </w:rPr>
      </w:pPr>
      <w:r w:rsidRPr="003C48EF">
        <w:rPr>
          <w:color w:val="000000" w:themeColor="text1"/>
        </w:rPr>
        <w:t>Caring,</w:t>
      </w:r>
      <w:r w:rsidRPr="003C48EF">
        <w:rPr>
          <w:color w:val="000000" w:themeColor="text1"/>
          <w:spacing w:val="-1"/>
        </w:rPr>
        <w:t xml:space="preserve"> </w:t>
      </w:r>
      <w:r w:rsidRPr="003C48EF">
        <w:rPr>
          <w:color w:val="000000" w:themeColor="text1"/>
        </w:rPr>
        <w:t>happy,</w:t>
      </w:r>
      <w:r w:rsidRPr="003C48EF">
        <w:rPr>
          <w:color w:val="000000" w:themeColor="text1"/>
          <w:spacing w:val="1"/>
        </w:rPr>
        <w:t xml:space="preserve"> </w:t>
      </w:r>
      <w:r w:rsidRPr="003C48EF">
        <w:rPr>
          <w:color w:val="000000" w:themeColor="text1"/>
        </w:rPr>
        <w:t>healthy</w:t>
      </w:r>
      <w:r w:rsidRPr="003C48EF">
        <w:rPr>
          <w:color w:val="000000" w:themeColor="text1"/>
          <w:spacing w:val="-1"/>
        </w:rPr>
        <w:t xml:space="preserve"> </w:t>
      </w:r>
      <w:r w:rsidRPr="003C48EF">
        <w:rPr>
          <w:color w:val="000000" w:themeColor="text1"/>
        </w:rPr>
        <w:t>communities</w:t>
      </w:r>
    </w:p>
    <w:p w14:paraId="6CC2CEF5" w14:textId="77777777" w:rsidR="009F69EA" w:rsidRPr="003C48EF" w:rsidRDefault="009F69EA" w:rsidP="009F69EA">
      <w:pPr>
        <w:pStyle w:val="ListParagraph"/>
        <w:widowControl w:val="0"/>
        <w:numPr>
          <w:ilvl w:val="0"/>
          <w:numId w:val="13"/>
        </w:numPr>
        <w:tabs>
          <w:tab w:val="left" w:pos="820"/>
          <w:tab w:val="left" w:pos="821"/>
        </w:tabs>
        <w:autoSpaceDE w:val="0"/>
        <w:autoSpaceDN w:val="0"/>
        <w:spacing w:before="36" w:after="0" w:line="240" w:lineRule="auto"/>
        <w:ind w:hanging="361"/>
        <w:contextualSpacing w:val="0"/>
        <w:rPr>
          <w:color w:val="000000" w:themeColor="text1"/>
        </w:rPr>
      </w:pPr>
      <w:r w:rsidRPr="003C48EF">
        <w:rPr>
          <w:color w:val="000000" w:themeColor="text1"/>
        </w:rPr>
        <w:t>Progressive</w:t>
      </w:r>
      <w:r w:rsidRPr="003C48EF">
        <w:rPr>
          <w:color w:val="000000" w:themeColor="text1"/>
          <w:spacing w:val="-4"/>
        </w:rPr>
        <w:t xml:space="preserve"> </w:t>
      </w:r>
      <w:r w:rsidRPr="003C48EF">
        <w:rPr>
          <w:color w:val="000000" w:themeColor="text1"/>
        </w:rPr>
        <w:t>local</w:t>
      </w:r>
      <w:r w:rsidRPr="003C48EF">
        <w:rPr>
          <w:color w:val="000000" w:themeColor="text1"/>
          <w:spacing w:val="-1"/>
        </w:rPr>
        <w:t xml:space="preserve"> </w:t>
      </w:r>
      <w:r w:rsidRPr="003C48EF">
        <w:rPr>
          <w:color w:val="000000" w:themeColor="text1"/>
        </w:rPr>
        <w:t>leadership</w:t>
      </w:r>
    </w:p>
    <w:p w14:paraId="088A741C" w14:textId="77777777" w:rsidR="009F69EA" w:rsidRPr="003C48EF" w:rsidRDefault="009F69EA" w:rsidP="009F69EA">
      <w:pPr>
        <w:pStyle w:val="ListParagraph"/>
        <w:widowControl w:val="0"/>
        <w:numPr>
          <w:ilvl w:val="0"/>
          <w:numId w:val="13"/>
        </w:numPr>
        <w:tabs>
          <w:tab w:val="left" w:pos="820"/>
          <w:tab w:val="left" w:pos="821"/>
        </w:tabs>
        <w:autoSpaceDE w:val="0"/>
        <w:autoSpaceDN w:val="0"/>
        <w:spacing w:before="37" w:after="0" w:line="240" w:lineRule="auto"/>
        <w:ind w:hanging="361"/>
        <w:contextualSpacing w:val="0"/>
        <w:rPr>
          <w:color w:val="000000" w:themeColor="text1"/>
        </w:rPr>
      </w:pPr>
      <w:r w:rsidRPr="003C48EF">
        <w:rPr>
          <w:color w:val="000000" w:themeColor="text1"/>
        </w:rPr>
        <w:t>An</w:t>
      </w:r>
      <w:r w:rsidRPr="003C48EF">
        <w:rPr>
          <w:color w:val="000000" w:themeColor="text1"/>
          <w:spacing w:val="-2"/>
        </w:rPr>
        <w:t xml:space="preserve"> </w:t>
      </w:r>
      <w:r w:rsidRPr="003C48EF">
        <w:rPr>
          <w:color w:val="000000" w:themeColor="text1"/>
        </w:rPr>
        <w:t>ecologically sustainable</w:t>
      </w:r>
      <w:r w:rsidRPr="003C48EF">
        <w:rPr>
          <w:color w:val="000000" w:themeColor="text1"/>
          <w:spacing w:val="-1"/>
        </w:rPr>
        <w:t xml:space="preserve"> </w:t>
      </w:r>
      <w:r w:rsidRPr="003C48EF">
        <w:rPr>
          <w:color w:val="000000" w:themeColor="text1"/>
        </w:rPr>
        <w:t>Inner</w:t>
      </w:r>
      <w:r w:rsidRPr="003C48EF">
        <w:rPr>
          <w:color w:val="000000" w:themeColor="text1"/>
          <w:spacing w:val="-2"/>
        </w:rPr>
        <w:t xml:space="preserve"> </w:t>
      </w:r>
      <w:r w:rsidRPr="003C48EF">
        <w:rPr>
          <w:color w:val="000000" w:themeColor="text1"/>
        </w:rPr>
        <w:t>West</w:t>
      </w:r>
    </w:p>
    <w:p w14:paraId="42950740" w14:textId="77777777" w:rsidR="009F69EA" w:rsidRDefault="009F69EA" w:rsidP="009F69EA"/>
    <w:p w14:paraId="1C6B4BBD" w14:textId="77777777" w:rsidR="009F69EA" w:rsidRDefault="009F69EA" w:rsidP="008958F0"/>
    <w:sectPr w:rsidR="009F69EA" w:rsidSect="001B0EF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72A8" w14:textId="77777777" w:rsidR="00CC6140" w:rsidRDefault="00CC6140" w:rsidP="00CB6444">
      <w:r>
        <w:separator/>
      </w:r>
    </w:p>
  </w:endnote>
  <w:endnote w:type="continuationSeparator" w:id="0">
    <w:p w14:paraId="5E9B6F28" w14:textId="77777777" w:rsidR="00CC6140" w:rsidRDefault="00CC6140" w:rsidP="00CB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wis721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C428" w14:textId="77777777" w:rsidR="005B4D19" w:rsidRDefault="005B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570962"/>
      <w:docPartObj>
        <w:docPartGallery w:val="Page Numbers (Bottom of Page)"/>
        <w:docPartUnique/>
      </w:docPartObj>
    </w:sdtPr>
    <w:sdtEndPr>
      <w:rPr>
        <w:noProof/>
        <w:sz w:val="16"/>
        <w:szCs w:val="16"/>
      </w:rPr>
    </w:sdtEndPr>
    <w:sdtContent>
      <w:p w14:paraId="7B62801A" w14:textId="08A4FF82" w:rsidR="007B7D31" w:rsidRPr="00833E1E" w:rsidRDefault="007B7D31" w:rsidP="00E40066">
        <w:pPr>
          <w:pStyle w:val="Footer"/>
          <w:jc w:val="center"/>
          <w:rPr>
            <w:sz w:val="16"/>
            <w:szCs w:val="16"/>
          </w:rPr>
        </w:pPr>
        <w:r w:rsidRPr="00833E1E">
          <w:rPr>
            <w:sz w:val="16"/>
            <w:szCs w:val="16"/>
          </w:rPr>
          <w:fldChar w:fldCharType="begin"/>
        </w:r>
        <w:r w:rsidRPr="00833E1E">
          <w:rPr>
            <w:sz w:val="16"/>
            <w:szCs w:val="16"/>
          </w:rPr>
          <w:instrText xml:space="preserve"> PAGE   \* MERGEFORMAT </w:instrText>
        </w:r>
        <w:r w:rsidRPr="00833E1E">
          <w:rPr>
            <w:sz w:val="16"/>
            <w:szCs w:val="16"/>
          </w:rPr>
          <w:fldChar w:fldCharType="separate"/>
        </w:r>
        <w:r w:rsidRPr="00833E1E">
          <w:rPr>
            <w:noProof/>
            <w:sz w:val="16"/>
            <w:szCs w:val="16"/>
          </w:rPr>
          <w:t>2</w:t>
        </w:r>
        <w:r w:rsidRPr="00833E1E">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8A74" w14:textId="77777777" w:rsidR="005B4D19" w:rsidRDefault="005B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EC539" w14:textId="77777777" w:rsidR="00CC6140" w:rsidRDefault="00CC6140" w:rsidP="00CB6444">
      <w:r>
        <w:separator/>
      </w:r>
    </w:p>
  </w:footnote>
  <w:footnote w:type="continuationSeparator" w:id="0">
    <w:p w14:paraId="40539AB9" w14:textId="77777777" w:rsidR="00CC6140" w:rsidRDefault="00CC6140" w:rsidP="00CB6444">
      <w:r>
        <w:continuationSeparator/>
      </w:r>
    </w:p>
  </w:footnote>
  <w:footnote w:id="1">
    <w:p w14:paraId="716D3945" w14:textId="47F5BE18" w:rsidR="007B7D31" w:rsidRDefault="007B7D31">
      <w:pPr>
        <w:pStyle w:val="FootnoteText"/>
      </w:pPr>
      <w:r>
        <w:rPr>
          <w:rStyle w:val="FootnoteReference"/>
        </w:rPr>
        <w:t>1</w:t>
      </w:r>
      <w:r>
        <w:t xml:space="preserve"> World Health Organization, </w:t>
      </w:r>
      <w:r w:rsidRPr="00C04F82">
        <w:rPr>
          <w:i/>
          <w:iCs/>
        </w:rPr>
        <w:t>Ageing: Health ageing and functional ability 2020</w:t>
      </w:r>
      <w:r>
        <w:t xml:space="preserve"> available at </w:t>
      </w:r>
      <w:r w:rsidRPr="003F727D">
        <w:t>https://www.who.int/westernpacific/news/q-a-detail/ageing-healthy-ageing-and-functional-ability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5B36" w14:textId="77777777" w:rsidR="005B4D19" w:rsidRDefault="005B4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618625"/>
      <w:docPartObj>
        <w:docPartGallery w:val="Watermarks"/>
        <w:docPartUnique/>
      </w:docPartObj>
    </w:sdtPr>
    <w:sdtEndPr/>
    <w:sdtContent>
      <w:p w14:paraId="549470FE" w14:textId="6FDF5D42" w:rsidR="005B4D19" w:rsidRDefault="00CC6140">
        <w:pPr>
          <w:pStyle w:val="Header"/>
        </w:pPr>
        <w:r>
          <w:rPr>
            <w:noProof/>
          </w:rPr>
          <w:pict w14:anchorId="1AE54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BE2" w14:textId="77777777" w:rsidR="005B4D19" w:rsidRDefault="005B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C8"/>
    <w:multiLevelType w:val="hybridMultilevel"/>
    <w:tmpl w:val="A230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A01F5"/>
    <w:multiLevelType w:val="hybridMultilevel"/>
    <w:tmpl w:val="878CAACA"/>
    <w:lvl w:ilvl="0" w:tplc="82F0B602">
      <w:numFmt w:val="bullet"/>
      <w:lvlText w:val=""/>
      <w:lvlJc w:val="left"/>
      <w:pPr>
        <w:ind w:left="820" w:hanging="360"/>
      </w:pPr>
      <w:rPr>
        <w:rFonts w:ascii="Symbol" w:eastAsia="Symbol" w:hAnsi="Symbol" w:cs="Symbol" w:hint="default"/>
        <w:w w:val="100"/>
        <w:sz w:val="22"/>
        <w:szCs w:val="22"/>
        <w:lang w:val="en-AU" w:eastAsia="en-US" w:bidi="ar-SA"/>
      </w:rPr>
    </w:lvl>
    <w:lvl w:ilvl="1" w:tplc="D9DEDBD0">
      <w:numFmt w:val="bullet"/>
      <w:lvlText w:val="•"/>
      <w:lvlJc w:val="left"/>
      <w:pPr>
        <w:ind w:left="1662" w:hanging="360"/>
      </w:pPr>
      <w:rPr>
        <w:rFonts w:hint="default"/>
        <w:lang w:val="en-AU" w:eastAsia="en-US" w:bidi="ar-SA"/>
      </w:rPr>
    </w:lvl>
    <w:lvl w:ilvl="2" w:tplc="74A0BDBA">
      <w:numFmt w:val="bullet"/>
      <w:lvlText w:val="•"/>
      <w:lvlJc w:val="left"/>
      <w:pPr>
        <w:ind w:left="2505" w:hanging="360"/>
      </w:pPr>
      <w:rPr>
        <w:rFonts w:hint="default"/>
        <w:lang w:val="en-AU" w:eastAsia="en-US" w:bidi="ar-SA"/>
      </w:rPr>
    </w:lvl>
    <w:lvl w:ilvl="3" w:tplc="07C8C388">
      <w:numFmt w:val="bullet"/>
      <w:lvlText w:val="•"/>
      <w:lvlJc w:val="left"/>
      <w:pPr>
        <w:ind w:left="3347" w:hanging="360"/>
      </w:pPr>
      <w:rPr>
        <w:rFonts w:hint="default"/>
        <w:lang w:val="en-AU" w:eastAsia="en-US" w:bidi="ar-SA"/>
      </w:rPr>
    </w:lvl>
    <w:lvl w:ilvl="4" w:tplc="C70472E6">
      <w:numFmt w:val="bullet"/>
      <w:lvlText w:val="•"/>
      <w:lvlJc w:val="left"/>
      <w:pPr>
        <w:ind w:left="4190" w:hanging="360"/>
      </w:pPr>
      <w:rPr>
        <w:rFonts w:hint="default"/>
        <w:lang w:val="en-AU" w:eastAsia="en-US" w:bidi="ar-SA"/>
      </w:rPr>
    </w:lvl>
    <w:lvl w:ilvl="5" w:tplc="73AE35BA">
      <w:numFmt w:val="bullet"/>
      <w:lvlText w:val="•"/>
      <w:lvlJc w:val="left"/>
      <w:pPr>
        <w:ind w:left="5033" w:hanging="360"/>
      </w:pPr>
      <w:rPr>
        <w:rFonts w:hint="default"/>
        <w:lang w:val="en-AU" w:eastAsia="en-US" w:bidi="ar-SA"/>
      </w:rPr>
    </w:lvl>
    <w:lvl w:ilvl="6" w:tplc="7526D334">
      <w:numFmt w:val="bullet"/>
      <w:lvlText w:val="•"/>
      <w:lvlJc w:val="left"/>
      <w:pPr>
        <w:ind w:left="5875" w:hanging="360"/>
      </w:pPr>
      <w:rPr>
        <w:rFonts w:hint="default"/>
        <w:lang w:val="en-AU" w:eastAsia="en-US" w:bidi="ar-SA"/>
      </w:rPr>
    </w:lvl>
    <w:lvl w:ilvl="7" w:tplc="F3DA7616">
      <w:numFmt w:val="bullet"/>
      <w:lvlText w:val="•"/>
      <w:lvlJc w:val="left"/>
      <w:pPr>
        <w:ind w:left="6718" w:hanging="360"/>
      </w:pPr>
      <w:rPr>
        <w:rFonts w:hint="default"/>
        <w:lang w:val="en-AU" w:eastAsia="en-US" w:bidi="ar-SA"/>
      </w:rPr>
    </w:lvl>
    <w:lvl w:ilvl="8" w:tplc="B270E444">
      <w:numFmt w:val="bullet"/>
      <w:lvlText w:val="•"/>
      <w:lvlJc w:val="left"/>
      <w:pPr>
        <w:ind w:left="7561" w:hanging="360"/>
      </w:pPr>
      <w:rPr>
        <w:rFonts w:hint="default"/>
        <w:lang w:val="en-AU" w:eastAsia="en-US" w:bidi="ar-SA"/>
      </w:rPr>
    </w:lvl>
  </w:abstractNum>
  <w:abstractNum w:abstractNumId="2" w15:restartNumberingAfterBreak="0">
    <w:nsid w:val="085A0379"/>
    <w:multiLevelType w:val="hybridMultilevel"/>
    <w:tmpl w:val="509E3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D41D8D"/>
    <w:multiLevelType w:val="hybridMultilevel"/>
    <w:tmpl w:val="A79A6FA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32207"/>
    <w:multiLevelType w:val="hybridMultilevel"/>
    <w:tmpl w:val="A0321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335159"/>
    <w:multiLevelType w:val="hybridMultilevel"/>
    <w:tmpl w:val="F574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83A4C"/>
    <w:multiLevelType w:val="hybridMultilevel"/>
    <w:tmpl w:val="6F78A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5E2F2F"/>
    <w:multiLevelType w:val="hybridMultilevel"/>
    <w:tmpl w:val="D95C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7164E"/>
    <w:multiLevelType w:val="hybridMultilevel"/>
    <w:tmpl w:val="98C2E8CC"/>
    <w:lvl w:ilvl="0" w:tplc="B2E6C79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8382272"/>
    <w:multiLevelType w:val="hybridMultilevel"/>
    <w:tmpl w:val="2C82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90A0D"/>
    <w:multiLevelType w:val="hybridMultilevel"/>
    <w:tmpl w:val="837E1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D50D77"/>
    <w:multiLevelType w:val="multilevel"/>
    <w:tmpl w:val="6496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6B0A00"/>
    <w:multiLevelType w:val="hybridMultilevel"/>
    <w:tmpl w:val="A5AE8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4328C2"/>
    <w:multiLevelType w:val="multilevel"/>
    <w:tmpl w:val="923806CC"/>
    <w:lvl w:ilvl="0">
      <w:start w:val="1"/>
      <w:numFmt w:val="decimal"/>
      <w:lvlText w:val="%1."/>
      <w:lvlJc w:val="left"/>
      <w:pPr>
        <w:ind w:left="1080" w:hanging="72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57329D"/>
    <w:multiLevelType w:val="hybridMultilevel"/>
    <w:tmpl w:val="D4F8B948"/>
    <w:lvl w:ilvl="0" w:tplc="B2E6C79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5"/>
  </w:num>
  <w:num w:numId="5">
    <w:abstractNumId w:val="7"/>
  </w:num>
  <w:num w:numId="6">
    <w:abstractNumId w:val="6"/>
  </w:num>
  <w:num w:numId="7">
    <w:abstractNumId w:val="10"/>
  </w:num>
  <w:num w:numId="8">
    <w:abstractNumId w:val="12"/>
  </w:num>
  <w:num w:numId="9">
    <w:abstractNumId w:val="0"/>
  </w:num>
  <w:num w:numId="10">
    <w:abstractNumId w:val="11"/>
  </w:num>
  <w:num w:numId="11">
    <w:abstractNumId w:val="3"/>
  </w:num>
  <w:num w:numId="12">
    <w:abstractNumId w:val="4"/>
  </w:num>
  <w:num w:numId="13">
    <w:abstractNumId w:val="1"/>
  </w:num>
  <w:num w:numId="14">
    <w:abstractNumId w:val="1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F4"/>
    <w:rsid w:val="0000362A"/>
    <w:rsid w:val="0000679F"/>
    <w:rsid w:val="00011455"/>
    <w:rsid w:val="00015430"/>
    <w:rsid w:val="000208F7"/>
    <w:rsid w:val="00024726"/>
    <w:rsid w:val="00025644"/>
    <w:rsid w:val="00040280"/>
    <w:rsid w:val="0004058B"/>
    <w:rsid w:val="000428FD"/>
    <w:rsid w:val="00052396"/>
    <w:rsid w:val="00054207"/>
    <w:rsid w:val="00056B4F"/>
    <w:rsid w:val="00075A70"/>
    <w:rsid w:val="00084102"/>
    <w:rsid w:val="00086138"/>
    <w:rsid w:val="00086E00"/>
    <w:rsid w:val="000900CA"/>
    <w:rsid w:val="0009503A"/>
    <w:rsid w:val="000A3623"/>
    <w:rsid w:val="000A6DAD"/>
    <w:rsid w:val="000B45F2"/>
    <w:rsid w:val="000B61A3"/>
    <w:rsid w:val="000D110F"/>
    <w:rsid w:val="000D3EEF"/>
    <w:rsid w:val="000D5F2A"/>
    <w:rsid w:val="000D76E0"/>
    <w:rsid w:val="000E2576"/>
    <w:rsid w:val="000F0BF0"/>
    <w:rsid w:val="000F2C68"/>
    <w:rsid w:val="000F466A"/>
    <w:rsid w:val="000F52F7"/>
    <w:rsid w:val="000F5FDE"/>
    <w:rsid w:val="001028CC"/>
    <w:rsid w:val="001031CE"/>
    <w:rsid w:val="0011358D"/>
    <w:rsid w:val="00121A36"/>
    <w:rsid w:val="001300C0"/>
    <w:rsid w:val="001339DB"/>
    <w:rsid w:val="00134E77"/>
    <w:rsid w:val="00137F25"/>
    <w:rsid w:val="0014045E"/>
    <w:rsid w:val="00141544"/>
    <w:rsid w:val="001530F2"/>
    <w:rsid w:val="00155E6A"/>
    <w:rsid w:val="00161409"/>
    <w:rsid w:val="001632F9"/>
    <w:rsid w:val="00166A0B"/>
    <w:rsid w:val="00174BDB"/>
    <w:rsid w:val="001859C9"/>
    <w:rsid w:val="00185F5E"/>
    <w:rsid w:val="00191D7C"/>
    <w:rsid w:val="00195371"/>
    <w:rsid w:val="001972E3"/>
    <w:rsid w:val="00197CFB"/>
    <w:rsid w:val="001A2870"/>
    <w:rsid w:val="001B0506"/>
    <w:rsid w:val="001B0EFA"/>
    <w:rsid w:val="001B5C68"/>
    <w:rsid w:val="001B73A3"/>
    <w:rsid w:val="001C79D6"/>
    <w:rsid w:val="001D27B2"/>
    <w:rsid w:val="001D2D67"/>
    <w:rsid w:val="001E1F7D"/>
    <w:rsid w:val="001E5DE7"/>
    <w:rsid w:val="001F01FF"/>
    <w:rsid w:val="001F7B79"/>
    <w:rsid w:val="001F7C93"/>
    <w:rsid w:val="002041A0"/>
    <w:rsid w:val="00212ACE"/>
    <w:rsid w:val="0021328B"/>
    <w:rsid w:val="00215E07"/>
    <w:rsid w:val="002162FA"/>
    <w:rsid w:val="0023073B"/>
    <w:rsid w:val="002309A2"/>
    <w:rsid w:val="00234784"/>
    <w:rsid w:val="002365EE"/>
    <w:rsid w:val="002410D2"/>
    <w:rsid w:val="002413E6"/>
    <w:rsid w:val="00243E2F"/>
    <w:rsid w:val="0024449C"/>
    <w:rsid w:val="002471E6"/>
    <w:rsid w:val="00255BA0"/>
    <w:rsid w:val="00260472"/>
    <w:rsid w:val="0026616C"/>
    <w:rsid w:val="002662D5"/>
    <w:rsid w:val="0027284F"/>
    <w:rsid w:val="00273E58"/>
    <w:rsid w:val="00274F66"/>
    <w:rsid w:val="00275843"/>
    <w:rsid w:val="00280395"/>
    <w:rsid w:val="00280F47"/>
    <w:rsid w:val="00283A98"/>
    <w:rsid w:val="002875D8"/>
    <w:rsid w:val="002A5CAC"/>
    <w:rsid w:val="002A7E30"/>
    <w:rsid w:val="002B31B9"/>
    <w:rsid w:val="002B35EE"/>
    <w:rsid w:val="002B6E7A"/>
    <w:rsid w:val="002C4A4A"/>
    <w:rsid w:val="002C5938"/>
    <w:rsid w:val="002E291F"/>
    <w:rsid w:val="002F072E"/>
    <w:rsid w:val="002F07CF"/>
    <w:rsid w:val="002F2611"/>
    <w:rsid w:val="00301749"/>
    <w:rsid w:val="00312F02"/>
    <w:rsid w:val="003148F2"/>
    <w:rsid w:val="00314E49"/>
    <w:rsid w:val="00314E52"/>
    <w:rsid w:val="0031693E"/>
    <w:rsid w:val="003175A3"/>
    <w:rsid w:val="003218B6"/>
    <w:rsid w:val="00324A4E"/>
    <w:rsid w:val="00326F83"/>
    <w:rsid w:val="00332DD6"/>
    <w:rsid w:val="00336B59"/>
    <w:rsid w:val="00343979"/>
    <w:rsid w:val="00344BED"/>
    <w:rsid w:val="00351634"/>
    <w:rsid w:val="00355A2A"/>
    <w:rsid w:val="00363F55"/>
    <w:rsid w:val="00372865"/>
    <w:rsid w:val="00372EBF"/>
    <w:rsid w:val="003743C0"/>
    <w:rsid w:val="00377839"/>
    <w:rsid w:val="00380367"/>
    <w:rsid w:val="00380C0B"/>
    <w:rsid w:val="00381F1E"/>
    <w:rsid w:val="00394188"/>
    <w:rsid w:val="00394B31"/>
    <w:rsid w:val="00396612"/>
    <w:rsid w:val="003A6AF9"/>
    <w:rsid w:val="003A77C5"/>
    <w:rsid w:val="003B35F2"/>
    <w:rsid w:val="003C4836"/>
    <w:rsid w:val="003D2714"/>
    <w:rsid w:val="003D580F"/>
    <w:rsid w:val="003D72A0"/>
    <w:rsid w:val="003E24AB"/>
    <w:rsid w:val="003E24F4"/>
    <w:rsid w:val="003E3391"/>
    <w:rsid w:val="003F04CD"/>
    <w:rsid w:val="003F0563"/>
    <w:rsid w:val="003F114D"/>
    <w:rsid w:val="003F2377"/>
    <w:rsid w:val="003F34AA"/>
    <w:rsid w:val="003F727D"/>
    <w:rsid w:val="00405276"/>
    <w:rsid w:val="00405703"/>
    <w:rsid w:val="00407EBD"/>
    <w:rsid w:val="00426B9B"/>
    <w:rsid w:val="004452D9"/>
    <w:rsid w:val="004550AC"/>
    <w:rsid w:val="0046111A"/>
    <w:rsid w:val="0046189E"/>
    <w:rsid w:val="00466610"/>
    <w:rsid w:val="0046741F"/>
    <w:rsid w:val="00481EE1"/>
    <w:rsid w:val="00482014"/>
    <w:rsid w:val="004871E0"/>
    <w:rsid w:val="00493355"/>
    <w:rsid w:val="004A2DD2"/>
    <w:rsid w:val="004B0B09"/>
    <w:rsid w:val="004B4A8A"/>
    <w:rsid w:val="004C6E14"/>
    <w:rsid w:val="004E3EDF"/>
    <w:rsid w:val="004E4979"/>
    <w:rsid w:val="004E5EA3"/>
    <w:rsid w:val="004E618C"/>
    <w:rsid w:val="004F0619"/>
    <w:rsid w:val="00505FEC"/>
    <w:rsid w:val="00507107"/>
    <w:rsid w:val="00511A86"/>
    <w:rsid w:val="00515371"/>
    <w:rsid w:val="00521373"/>
    <w:rsid w:val="00524DCA"/>
    <w:rsid w:val="00527BD0"/>
    <w:rsid w:val="00532597"/>
    <w:rsid w:val="00533209"/>
    <w:rsid w:val="00537C9C"/>
    <w:rsid w:val="00541183"/>
    <w:rsid w:val="00545F33"/>
    <w:rsid w:val="00546776"/>
    <w:rsid w:val="00546D7F"/>
    <w:rsid w:val="00547D57"/>
    <w:rsid w:val="00550B9D"/>
    <w:rsid w:val="00551BA9"/>
    <w:rsid w:val="00555C70"/>
    <w:rsid w:val="00561B05"/>
    <w:rsid w:val="00567B9E"/>
    <w:rsid w:val="00571F14"/>
    <w:rsid w:val="00584600"/>
    <w:rsid w:val="005856C8"/>
    <w:rsid w:val="00590A6F"/>
    <w:rsid w:val="005977AD"/>
    <w:rsid w:val="005A1142"/>
    <w:rsid w:val="005A3A68"/>
    <w:rsid w:val="005A61AF"/>
    <w:rsid w:val="005B1637"/>
    <w:rsid w:val="005B444D"/>
    <w:rsid w:val="005B4D19"/>
    <w:rsid w:val="005C0C6F"/>
    <w:rsid w:val="005D3356"/>
    <w:rsid w:val="005D3E4A"/>
    <w:rsid w:val="005D6FBA"/>
    <w:rsid w:val="005D79A8"/>
    <w:rsid w:val="005E1AB3"/>
    <w:rsid w:val="005E47EA"/>
    <w:rsid w:val="005E6BAC"/>
    <w:rsid w:val="005F5401"/>
    <w:rsid w:val="005F5FB1"/>
    <w:rsid w:val="0060031C"/>
    <w:rsid w:val="006151DE"/>
    <w:rsid w:val="00615D12"/>
    <w:rsid w:val="00622676"/>
    <w:rsid w:val="00626770"/>
    <w:rsid w:val="006270D1"/>
    <w:rsid w:val="006303DB"/>
    <w:rsid w:val="00633222"/>
    <w:rsid w:val="00635169"/>
    <w:rsid w:val="006428B6"/>
    <w:rsid w:val="00657318"/>
    <w:rsid w:val="00657544"/>
    <w:rsid w:val="006629FC"/>
    <w:rsid w:val="00662A4E"/>
    <w:rsid w:val="00665A7E"/>
    <w:rsid w:val="00671F28"/>
    <w:rsid w:val="00677848"/>
    <w:rsid w:val="0067786B"/>
    <w:rsid w:val="006851B2"/>
    <w:rsid w:val="006876B3"/>
    <w:rsid w:val="006924BD"/>
    <w:rsid w:val="00692B6D"/>
    <w:rsid w:val="00695D41"/>
    <w:rsid w:val="006A42EE"/>
    <w:rsid w:val="006A4CC3"/>
    <w:rsid w:val="006B5637"/>
    <w:rsid w:val="006B725D"/>
    <w:rsid w:val="006C33B1"/>
    <w:rsid w:val="006C36FD"/>
    <w:rsid w:val="006C668A"/>
    <w:rsid w:val="006D09FA"/>
    <w:rsid w:val="006D09FB"/>
    <w:rsid w:val="006E2776"/>
    <w:rsid w:val="006E2CC7"/>
    <w:rsid w:val="006E6F8E"/>
    <w:rsid w:val="006E70B2"/>
    <w:rsid w:val="006F2133"/>
    <w:rsid w:val="006F228D"/>
    <w:rsid w:val="006F26D3"/>
    <w:rsid w:val="006F5CBD"/>
    <w:rsid w:val="007106BA"/>
    <w:rsid w:val="007114FE"/>
    <w:rsid w:val="00711509"/>
    <w:rsid w:val="0071564C"/>
    <w:rsid w:val="00727F25"/>
    <w:rsid w:val="00732DC3"/>
    <w:rsid w:val="00733632"/>
    <w:rsid w:val="00733E83"/>
    <w:rsid w:val="0073639C"/>
    <w:rsid w:val="00742D50"/>
    <w:rsid w:val="00750903"/>
    <w:rsid w:val="007530BC"/>
    <w:rsid w:val="0075334E"/>
    <w:rsid w:val="007563C1"/>
    <w:rsid w:val="00760BB3"/>
    <w:rsid w:val="0077150D"/>
    <w:rsid w:val="00780E9E"/>
    <w:rsid w:val="00782876"/>
    <w:rsid w:val="007859AB"/>
    <w:rsid w:val="00787BC3"/>
    <w:rsid w:val="00791400"/>
    <w:rsid w:val="007966C0"/>
    <w:rsid w:val="007A1666"/>
    <w:rsid w:val="007A3330"/>
    <w:rsid w:val="007A59BB"/>
    <w:rsid w:val="007A680B"/>
    <w:rsid w:val="007A6B99"/>
    <w:rsid w:val="007B7D31"/>
    <w:rsid w:val="007C00D8"/>
    <w:rsid w:val="007C61B6"/>
    <w:rsid w:val="007D37FE"/>
    <w:rsid w:val="007D3EFB"/>
    <w:rsid w:val="007D70F0"/>
    <w:rsid w:val="007E1A67"/>
    <w:rsid w:val="007E6D13"/>
    <w:rsid w:val="007F70D9"/>
    <w:rsid w:val="00804940"/>
    <w:rsid w:val="00804E93"/>
    <w:rsid w:val="00816721"/>
    <w:rsid w:val="00823072"/>
    <w:rsid w:val="00823B8B"/>
    <w:rsid w:val="008255DB"/>
    <w:rsid w:val="00833E1E"/>
    <w:rsid w:val="008342F3"/>
    <w:rsid w:val="00846BC4"/>
    <w:rsid w:val="00847C6C"/>
    <w:rsid w:val="00851F99"/>
    <w:rsid w:val="00853860"/>
    <w:rsid w:val="00863C4F"/>
    <w:rsid w:val="00865304"/>
    <w:rsid w:val="008674E4"/>
    <w:rsid w:val="00881E72"/>
    <w:rsid w:val="0088408C"/>
    <w:rsid w:val="008958F0"/>
    <w:rsid w:val="008A3DB4"/>
    <w:rsid w:val="008A4401"/>
    <w:rsid w:val="008A6CE3"/>
    <w:rsid w:val="008B0769"/>
    <w:rsid w:val="008B0D4F"/>
    <w:rsid w:val="008B21D4"/>
    <w:rsid w:val="008B2556"/>
    <w:rsid w:val="008B5E06"/>
    <w:rsid w:val="008C2387"/>
    <w:rsid w:val="008C5BDB"/>
    <w:rsid w:val="008D3713"/>
    <w:rsid w:val="008E128A"/>
    <w:rsid w:val="008E4D7F"/>
    <w:rsid w:val="008E5C0B"/>
    <w:rsid w:val="008F3715"/>
    <w:rsid w:val="008F421E"/>
    <w:rsid w:val="008F457B"/>
    <w:rsid w:val="009034D5"/>
    <w:rsid w:val="00905927"/>
    <w:rsid w:val="00907B9E"/>
    <w:rsid w:val="009108BC"/>
    <w:rsid w:val="00924C15"/>
    <w:rsid w:val="0093090F"/>
    <w:rsid w:val="00934A4B"/>
    <w:rsid w:val="00940A90"/>
    <w:rsid w:val="00950191"/>
    <w:rsid w:val="00951E2E"/>
    <w:rsid w:val="00951E43"/>
    <w:rsid w:val="00956ED3"/>
    <w:rsid w:val="00963A78"/>
    <w:rsid w:val="0096479A"/>
    <w:rsid w:val="0096481B"/>
    <w:rsid w:val="00964BBE"/>
    <w:rsid w:val="00967320"/>
    <w:rsid w:val="00972AC5"/>
    <w:rsid w:val="00976D37"/>
    <w:rsid w:val="0097775B"/>
    <w:rsid w:val="00981A6B"/>
    <w:rsid w:val="0098277B"/>
    <w:rsid w:val="009827BC"/>
    <w:rsid w:val="00990C24"/>
    <w:rsid w:val="00993D4F"/>
    <w:rsid w:val="00996A35"/>
    <w:rsid w:val="009A0698"/>
    <w:rsid w:val="009A6AD9"/>
    <w:rsid w:val="009B382B"/>
    <w:rsid w:val="009B5159"/>
    <w:rsid w:val="009C0789"/>
    <w:rsid w:val="009C320F"/>
    <w:rsid w:val="009D4FC4"/>
    <w:rsid w:val="009E13AB"/>
    <w:rsid w:val="009F69EA"/>
    <w:rsid w:val="009F6A91"/>
    <w:rsid w:val="00A0146A"/>
    <w:rsid w:val="00A0311A"/>
    <w:rsid w:val="00A04EBA"/>
    <w:rsid w:val="00A050F2"/>
    <w:rsid w:val="00A05321"/>
    <w:rsid w:val="00A15FD7"/>
    <w:rsid w:val="00A21CED"/>
    <w:rsid w:val="00A247D7"/>
    <w:rsid w:val="00A26211"/>
    <w:rsid w:val="00A27AC3"/>
    <w:rsid w:val="00A35C64"/>
    <w:rsid w:val="00A35CC2"/>
    <w:rsid w:val="00A44984"/>
    <w:rsid w:val="00A47DA0"/>
    <w:rsid w:val="00A536CB"/>
    <w:rsid w:val="00A5675C"/>
    <w:rsid w:val="00A60E77"/>
    <w:rsid w:val="00A62AD4"/>
    <w:rsid w:val="00A6428E"/>
    <w:rsid w:val="00A65C3F"/>
    <w:rsid w:val="00A66EFD"/>
    <w:rsid w:val="00A67A58"/>
    <w:rsid w:val="00A80D3D"/>
    <w:rsid w:val="00A84C87"/>
    <w:rsid w:val="00A852C4"/>
    <w:rsid w:val="00A87063"/>
    <w:rsid w:val="00A87C8D"/>
    <w:rsid w:val="00A9303F"/>
    <w:rsid w:val="00A94C82"/>
    <w:rsid w:val="00A97AD9"/>
    <w:rsid w:val="00AB0278"/>
    <w:rsid w:val="00AB1BC1"/>
    <w:rsid w:val="00AB27C2"/>
    <w:rsid w:val="00AB5236"/>
    <w:rsid w:val="00AC0FCA"/>
    <w:rsid w:val="00AC1B01"/>
    <w:rsid w:val="00AC2D81"/>
    <w:rsid w:val="00AC5130"/>
    <w:rsid w:val="00AD2D4F"/>
    <w:rsid w:val="00AD2EE7"/>
    <w:rsid w:val="00AD2F7A"/>
    <w:rsid w:val="00AD307C"/>
    <w:rsid w:val="00AE6C95"/>
    <w:rsid w:val="00AF18C4"/>
    <w:rsid w:val="00B00104"/>
    <w:rsid w:val="00B006AC"/>
    <w:rsid w:val="00B00B45"/>
    <w:rsid w:val="00B01C27"/>
    <w:rsid w:val="00B276B5"/>
    <w:rsid w:val="00B31E66"/>
    <w:rsid w:val="00B33CE9"/>
    <w:rsid w:val="00B34EEA"/>
    <w:rsid w:val="00B370C7"/>
    <w:rsid w:val="00B42BAE"/>
    <w:rsid w:val="00B47953"/>
    <w:rsid w:val="00B5243D"/>
    <w:rsid w:val="00B52910"/>
    <w:rsid w:val="00B52FEE"/>
    <w:rsid w:val="00B549AD"/>
    <w:rsid w:val="00B54BEF"/>
    <w:rsid w:val="00B55FAA"/>
    <w:rsid w:val="00B56A3C"/>
    <w:rsid w:val="00B578E7"/>
    <w:rsid w:val="00B649F3"/>
    <w:rsid w:val="00B66ED7"/>
    <w:rsid w:val="00B74AB6"/>
    <w:rsid w:val="00B74C51"/>
    <w:rsid w:val="00B7556F"/>
    <w:rsid w:val="00B815E9"/>
    <w:rsid w:val="00B85124"/>
    <w:rsid w:val="00B9371A"/>
    <w:rsid w:val="00BA29D4"/>
    <w:rsid w:val="00BA71A0"/>
    <w:rsid w:val="00BA7372"/>
    <w:rsid w:val="00BB10E5"/>
    <w:rsid w:val="00BB3671"/>
    <w:rsid w:val="00BB669B"/>
    <w:rsid w:val="00BC2300"/>
    <w:rsid w:val="00BC4387"/>
    <w:rsid w:val="00BC64FA"/>
    <w:rsid w:val="00BC717E"/>
    <w:rsid w:val="00BD08BE"/>
    <w:rsid w:val="00BD4404"/>
    <w:rsid w:val="00BD7B8A"/>
    <w:rsid w:val="00BE48CD"/>
    <w:rsid w:val="00BE5A0E"/>
    <w:rsid w:val="00BF1D26"/>
    <w:rsid w:val="00BF2BD5"/>
    <w:rsid w:val="00BF2F5B"/>
    <w:rsid w:val="00BF65E4"/>
    <w:rsid w:val="00BF6CCF"/>
    <w:rsid w:val="00C04CDC"/>
    <w:rsid w:val="00C10213"/>
    <w:rsid w:val="00C114A8"/>
    <w:rsid w:val="00C1420F"/>
    <w:rsid w:val="00C171C1"/>
    <w:rsid w:val="00C17F6E"/>
    <w:rsid w:val="00C220FE"/>
    <w:rsid w:val="00C23198"/>
    <w:rsid w:val="00C239CD"/>
    <w:rsid w:val="00C2583E"/>
    <w:rsid w:val="00C31A7F"/>
    <w:rsid w:val="00C3519E"/>
    <w:rsid w:val="00C37B1F"/>
    <w:rsid w:val="00C4292C"/>
    <w:rsid w:val="00C46BCB"/>
    <w:rsid w:val="00C5546D"/>
    <w:rsid w:val="00C71A02"/>
    <w:rsid w:val="00C7294D"/>
    <w:rsid w:val="00C73903"/>
    <w:rsid w:val="00C73A99"/>
    <w:rsid w:val="00C80FAB"/>
    <w:rsid w:val="00C92879"/>
    <w:rsid w:val="00C92C78"/>
    <w:rsid w:val="00CB31A3"/>
    <w:rsid w:val="00CB47F7"/>
    <w:rsid w:val="00CB4D99"/>
    <w:rsid w:val="00CB63E0"/>
    <w:rsid w:val="00CB6444"/>
    <w:rsid w:val="00CB701C"/>
    <w:rsid w:val="00CC55CC"/>
    <w:rsid w:val="00CC6140"/>
    <w:rsid w:val="00CD5C8E"/>
    <w:rsid w:val="00CE152A"/>
    <w:rsid w:val="00CE7D3E"/>
    <w:rsid w:val="00CF0C77"/>
    <w:rsid w:val="00CF38F6"/>
    <w:rsid w:val="00CF580E"/>
    <w:rsid w:val="00D034AB"/>
    <w:rsid w:val="00D0532F"/>
    <w:rsid w:val="00D059E4"/>
    <w:rsid w:val="00D07EFB"/>
    <w:rsid w:val="00D13FAB"/>
    <w:rsid w:val="00D22564"/>
    <w:rsid w:val="00D260B1"/>
    <w:rsid w:val="00D32B8C"/>
    <w:rsid w:val="00D32EF9"/>
    <w:rsid w:val="00D34458"/>
    <w:rsid w:val="00D34D10"/>
    <w:rsid w:val="00D433D2"/>
    <w:rsid w:val="00D53AFE"/>
    <w:rsid w:val="00D54B0A"/>
    <w:rsid w:val="00D57629"/>
    <w:rsid w:val="00D632FA"/>
    <w:rsid w:val="00D758EE"/>
    <w:rsid w:val="00D75C34"/>
    <w:rsid w:val="00D91B85"/>
    <w:rsid w:val="00D939F4"/>
    <w:rsid w:val="00DA1221"/>
    <w:rsid w:val="00DA3B7E"/>
    <w:rsid w:val="00DA7512"/>
    <w:rsid w:val="00DB1DB0"/>
    <w:rsid w:val="00DC3475"/>
    <w:rsid w:val="00DC5485"/>
    <w:rsid w:val="00DC612C"/>
    <w:rsid w:val="00DC6D9C"/>
    <w:rsid w:val="00DD11EA"/>
    <w:rsid w:val="00DD775E"/>
    <w:rsid w:val="00DE62A8"/>
    <w:rsid w:val="00DF414F"/>
    <w:rsid w:val="00E02B92"/>
    <w:rsid w:val="00E03306"/>
    <w:rsid w:val="00E07AA3"/>
    <w:rsid w:val="00E10C05"/>
    <w:rsid w:val="00E137E7"/>
    <w:rsid w:val="00E21504"/>
    <w:rsid w:val="00E2281D"/>
    <w:rsid w:val="00E30B55"/>
    <w:rsid w:val="00E3118F"/>
    <w:rsid w:val="00E32E73"/>
    <w:rsid w:val="00E40066"/>
    <w:rsid w:val="00E41220"/>
    <w:rsid w:val="00E50F8A"/>
    <w:rsid w:val="00E51FC4"/>
    <w:rsid w:val="00E522E6"/>
    <w:rsid w:val="00E53564"/>
    <w:rsid w:val="00E5494A"/>
    <w:rsid w:val="00E55521"/>
    <w:rsid w:val="00E56F3B"/>
    <w:rsid w:val="00E63FA3"/>
    <w:rsid w:val="00E65784"/>
    <w:rsid w:val="00E77447"/>
    <w:rsid w:val="00E862D1"/>
    <w:rsid w:val="00E9027D"/>
    <w:rsid w:val="00E92011"/>
    <w:rsid w:val="00E9615B"/>
    <w:rsid w:val="00EA0619"/>
    <w:rsid w:val="00EA21AC"/>
    <w:rsid w:val="00EA5069"/>
    <w:rsid w:val="00EA5424"/>
    <w:rsid w:val="00EA6472"/>
    <w:rsid w:val="00EA7526"/>
    <w:rsid w:val="00EB0631"/>
    <w:rsid w:val="00EB4572"/>
    <w:rsid w:val="00EB4994"/>
    <w:rsid w:val="00EB4B77"/>
    <w:rsid w:val="00EB4EB1"/>
    <w:rsid w:val="00EB548A"/>
    <w:rsid w:val="00EC09D8"/>
    <w:rsid w:val="00EC0BF2"/>
    <w:rsid w:val="00ED0A22"/>
    <w:rsid w:val="00ED1300"/>
    <w:rsid w:val="00ED2CA7"/>
    <w:rsid w:val="00ED2CBD"/>
    <w:rsid w:val="00ED512D"/>
    <w:rsid w:val="00EF16A4"/>
    <w:rsid w:val="00EF5DD7"/>
    <w:rsid w:val="00F01B48"/>
    <w:rsid w:val="00F03C64"/>
    <w:rsid w:val="00F06F69"/>
    <w:rsid w:val="00F07BD2"/>
    <w:rsid w:val="00F1270B"/>
    <w:rsid w:val="00F13D24"/>
    <w:rsid w:val="00F154E4"/>
    <w:rsid w:val="00F246F9"/>
    <w:rsid w:val="00F26537"/>
    <w:rsid w:val="00F345EF"/>
    <w:rsid w:val="00F359D1"/>
    <w:rsid w:val="00F52174"/>
    <w:rsid w:val="00F5292C"/>
    <w:rsid w:val="00F568E3"/>
    <w:rsid w:val="00F621F8"/>
    <w:rsid w:val="00F641E5"/>
    <w:rsid w:val="00F64B4B"/>
    <w:rsid w:val="00F676B5"/>
    <w:rsid w:val="00F67C9A"/>
    <w:rsid w:val="00F75136"/>
    <w:rsid w:val="00F8177F"/>
    <w:rsid w:val="00F830FA"/>
    <w:rsid w:val="00F85039"/>
    <w:rsid w:val="00F917F5"/>
    <w:rsid w:val="00F93EDE"/>
    <w:rsid w:val="00FA1AFA"/>
    <w:rsid w:val="00FA4B5A"/>
    <w:rsid w:val="00FA5BA1"/>
    <w:rsid w:val="00FA79B0"/>
    <w:rsid w:val="00FB0E60"/>
    <w:rsid w:val="00FB2172"/>
    <w:rsid w:val="00FB3415"/>
    <w:rsid w:val="00FB3873"/>
    <w:rsid w:val="00FC6223"/>
    <w:rsid w:val="00FD0759"/>
    <w:rsid w:val="00FD1A7B"/>
    <w:rsid w:val="00FE08E2"/>
    <w:rsid w:val="00FE38A4"/>
    <w:rsid w:val="00FE78FD"/>
    <w:rsid w:val="00FF6D81"/>
    <w:rsid w:val="0970926A"/>
    <w:rsid w:val="268F21CB"/>
    <w:rsid w:val="306AB2D1"/>
    <w:rsid w:val="508C8FEB"/>
    <w:rsid w:val="50D111FD"/>
    <w:rsid w:val="63E20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A16626"/>
  <w15:docId w15:val="{6676CCBD-F8A2-4C3E-93B6-0A69D0C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44"/>
    <w:rPr>
      <w:rFonts w:ascii="Arial" w:hAnsi="Arial" w:cs="Arial"/>
    </w:rPr>
  </w:style>
  <w:style w:type="paragraph" w:styleId="Heading1">
    <w:name w:val="heading 1"/>
    <w:basedOn w:val="Normal"/>
    <w:next w:val="Normal"/>
    <w:link w:val="Heading1Char"/>
    <w:uiPriority w:val="9"/>
    <w:qFormat/>
    <w:rsid w:val="00D93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9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3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276B5"/>
    <w:pPr>
      <w:spacing w:before="120" w:after="240" w:line="240" w:lineRule="auto"/>
      <w:contextualSpacing/>
    </w:pPr>
    <w:rPr>
      <w:rFonts w:eastAsiaTheme="majorEastAsia" w:cstheme="majorBidi"/>
      <w:b/>
      <w:color w:val="1F497D" w:themeColor="text2"/>
      <w:spacing w:val="5"/>
      <w:kern w:val="28"/>
    </w:rPr>
  </w:style>
  <w:style w:type="character" w:customStyle="1" w:styleId="TitleChar">
    <w:name w:val="Title Char"/>
    <w:basedOn w:val="DefaultParagraphFont"/>
    <w:link w:val="Title"/>
    <w:uiPriority w:val="10"/>
    <w:rsid w:val="00B276B5"/>
    <w:rPr>
      <w:rFonts w:ascii="Arial" w:eastAsiaTheme="majorEastAsia" w:hAnsi="Arial" w:cstheme="majorBidi"/>
      <w:b/>
      <w:color w:val="1F497D" w:themeColor="text2"/>
      <w:spacing w:val="5"/>
      <w:kern w:val="28"/>
    </w:rPr>
  </w:style>
  <w:style w:type="character" w:customStyle="1" w:styleId="Heading1Char">
    <w:name w:val="Heading 1 Char"/>
    <w:basedOn w:val="DefaultParagraphFont"/>
    <w:link w:val="Heading1"/>
    <w:uiPriority w:val="9"/>
    <w:rsid w:val="00D939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9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39F4"/>
    <w:pPr>
      <w:ind w:left="720"/>
      <w:contextualSpacing/>
    </w:pPr>
  </w:style>
  <w:style w:type="character" w:customStyle="1" w:styleId="Heading3Char">
    <w:name w:val="Heading 3 Char"/>
    <w:basedOn w:val="DefaultParagraphFont"/>
    <w:link w:val="Heading3"/>
    <w:uiPriority w:val="9"/>
    <w:rsid w:val="00D939F4"/>
    <w:rPr>
      <w:rFonts w:asciiTheme="majorHAnsi" w:eastAsiaTheme="majorEastAsia" w:hAnsiTheme="majorHAnsi" w:cstheme="majorBidi"/>
      <w:b/>
      <w:bCs/>
      <w:color w:val="4F81BD" w:themeColor="accent1"/>
    </w:rPr>
  </w:style>
  <w:style w:type="table" w:styleId="TableGrid">
    <w:name w:val="Table Grid"/>
    <w:basedOn w:val="TableNormal"/>
    <w:uiPriority w:val="59"/>
    <w:rsid w:val="001972E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6C8"/>
    <w:rPr>
      <w:sz w:val="16"/>
      <w:szCs w:val="16"/>
    </w:rPr>
  </w:style>
  <w:style w:type="paragraph" w:styleId="CommentText">
    <w:name w:val="annotation text"/>
    <w:basedOn w:val="Normal"/>
    <w:link w:val="CommentTextChar"/>
    <w:uiPriority w:val="99"/>
    <w:unhideWhenUsed/>
    <w:rsid w:val="005856C8"/>
    <w:pPr>
      <w:spacing w:line="240" w:lineRule="auto"/>
    </w:pPr>
    <w:rPr>
      <w:sz w:val="20"/>
      <w:szCs w:val="20"/>
    </w:rPr>
  </w:style>
  <w:style w:type="character" w:customStyle="1" w:styleId="CommentTextChar">
    <w:name w:val="Comment Text Char"/>
    <w:basedOn w:val="DefaultParagraphFont"/>
    <w:link w:val="CommentText"/>
    <w:uiPriority w:val="99"/>
    <w:rsid w:val="005856C8"/>
    <w:rPr>
      <w:sz w:val="20"/>
      <w:szCs w:val="20"/>
    </w:rPr>
  </w:style>
  <w:style w:type="paragraph" w:styleId="CommentSubject">
    <w:name w:val="annotation subject"/>
    <w:basedOn w:val="CommentText"/>
    <w:next w:val="CommentText"/>
    <w:link w:val="CommentSubjectChar"/>
    <w:uiPriority w:val="99"/>
    <w:semiHidden/>
    <w:unhideWhenUsed/>
    <w:rsid w:val="005856C8"/>
    <w:rPr>
      <w:b/>
      <w:bCs/>
    </w:rPr>
  </w:style>
  <w:style w:type="character" w:customStyle="1" w:styleId="CommentSubjectChar">
    <w:name w:val="Comment Subject Char"/>
    <w:basedOn w:val="CommentTextChar"/>
    <w:link w:val="CommentSubject"/>
    <w:uiPriority w:val="99"/>
    <w:semiHidden/>
    <w:rsid w:val="005856C8"/>
    <w:rPr>
      <w:b/>
      <w:bCs/>
      <w:sz w:val="20"/>
      <w:szCs w:val="20"/>
    </w:rPr>
  </w:style>
  <w:style w:type="paragraph" w:styleId="BalloonText">
    <w:name w:val="Balloon Text"/>
    <w:basedOn w:val="Normal"/>
    <w:link w:val="BalloonTextChar"/>
    <w:uiPriority w:val="99"/>
    <w:semiHidden/>
    <w:unhideWhenUsed/>
    <w:rsid w:val="0058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C8"/>
    <w:rPr>
      <w:rFonts w:ascii="Segoe UI" w:hAnsi="Segoe UI" w:cs="Segoe UI"/>
      <w:sz w:val="18"/>
      <w:szCs w:val="18"/>
    </w:rPr>
  </w:style>
  <w:style w:type="paragraph" w:styleId="Header">
    <w:name w:val="header"/>
    <w:basedOn w:val="Normal"/>
    <w:link w:val="HeaderChar"/>
    <w:uiPriority w:val="99"/>
    <w:unhideWhenUsed/>
    <w:rsid w:val="002F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11"/>
  </w:style>
  <w:style w:type="paragraph" w:styleId="Footer">
    <w:name w:val="footer"/>
    <w:basedOn w:val="Normal"/>
    <w:link w:val="FooterChar"/>
    <w:uiPriority w:val="99"/>
    <w:unhideWhenUsed/>
    <w:rsid w:val="002F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11"/>
  </w:style>
  <w:style w:type="character" w:styleId="Hyperlink">
    <w:name w:val="Hyperlink"/>
    <w:basedOn w:val="DefaultParagraphFont"/>
    <w:uiPriority w:val="99"/>
    <w:unhideWhenUsed/>
    <w:rsid w:val="002F2611"/>
    <w:rPr>
      <w:color w:val="0000FF" w:themeColor="hyperlink"/>
      <w:u w:val="single"/>
    </w:rPr>
  </w:style>
  <w:style w:type="character" w:styleId="UnresolvedMention">
    <w:name w:val="Unresolved Mention"/>
    <w:basedOn w:val="DefaultParagraphFont"/>
    <w:uiPriority w:val="99"/>
    <w:semiHidden/>
    <w:unhideWhenUsed/>
    <w:rsid w:val="002F2611"/>
    <w:rPr>
      <w:color w:val="605E5C"/>
      <w:shd w:val="clear" w:color="auto" w:fill="E1DFDD"/>
    </w:rPr>
  </w:style>
  <w:style w:type="paragraph" w:styleId="TOCHeading">
    <w:name w:val="TOC Heading"/>
    <w:basedOn w:val="Heading1"/>
    <w:next w:val="Normal"/>
    <w:uiPriority w:val="39"/>
    <w:unhideWhenUsed/>
    <w:qFormat/>
    <w:rsid w:val="00C04CD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04CDC"/>
    <w:pPr>
      <w:spacing w:after="100"/>
    </w:pPr>
  </w:style>
  <w:style w:type="paragraph" w:styleId="TOC2">
    <w:name w:val="toc 2"/>
    <w:basedOn w:val="Normal"/>
    <w:next w:val="Normal"/>
    <w:autoRedefine/>
    <w:uiPriority w:val="39"/>
    <w:unhideWhenUsed/>
    <w:rsid w:val="00C04CDC"/>
    <w:pPr>
      <w:spacing w:after="100"/>
      <w:ind w:left="220"/>
    </w:pPr>
  </w:style>
  <w:style w:type="paragraph" w:customStyle="1" w:styleId="Normal1">
    <w:name w:val="Normal1"/>
    <w:basedOn w:val="Normal"/>
    <w:rsid w:val="008F421E"/>
    <w:pPr>
      <w:spacing w:before="260" w:after="40" w:line="240" w:lineRule="auto"/>
      <w:contextualSpacing/>
    </w:pPr>
    <w:rPr>
      <w:rFonts w:ascii="Swis721 BT" w:hAnsi="Swis721 BT" w:cs="Calibri"/>
      <w:color w:val="000000"/>
      <w:sz w:val="24"/>
      <w:szCs w:val="24"/>
      <w:lang w:eastAsia="ja-JP"/>
    </w:rPr>
  </w:style>
  <w:style w:type="table" w:customStyle="1" w:styleId="TableGrid1">
    <w:name w:val="Table Grid1"/>
    <w:basedOn w:val="TableNormal"/>
    <w:next w:val="TableGrid"/>
    <w:uiPriority w:val="59"/>
    <w:rsid w:val="00AB1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8E3"/>
    <w:rPr>
      <w:color w:val="800080" w:themeColor="followedHyperlink"/>
      <w:u w:val="single"/>
    </w:rPr>
  </w:style>
  <w:style w:type="paragraph" w:styleId="Revision">
    <w:name w:val="Revision"/>
    <w:hidden/>
    <w:uiPriority w:val="99"/>
    <w:semiHidden/>
    <w:rsid w:val="00F568E3"/>
    <w:pPr>
      <w:spacing w:after="0" w:line="240" w:lineRule="auto"/>
    </w:pPr>
    <w:rPr>
      <w:rFonts w:ascii="Arial" w:hAnsi="Arial" w:cs="Arial"/>
    </w:rPr>
  </w:style>
  <w:style w:type="paragraph" w:styleId="NormalWeb">
    <w:name w:val="Normal (Web)"/>
    <w:basedOn w:val="Normal"/>
    <w:uiPriority w:val="99"/>
    <w:semiHidden/>
    <w:unhideWhenUsed/>
    <w:rsid w:val="00F568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56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E3"/>
    <w:rPr>
      <w:rFonts w:ascii="Arial" w:hAnsi="Arial" w:cs="Arial"/>
      <w:sz w:val="20"/>
      <w:szCs w:val="20"/>
    </w:rPr>
  </w:style>
  <w:style w:type="character" w:styleId="FootnoteReference">
    <w:name w:val="footnote reference"/>
    <w:basedOn w:val="DefaultParagraphFont"/>
    <w:uiPriority w:val="99"/>
    <w:semiHidden/>
    <w:unhideWhenUsed/>
    <w:rsid w:val="00F568E3"/>
    <w:rPr>
      <w:vertAlign w:val="superscript"/>
    </w:rPr>
  </w:style>
  <w:style w:type="paragraph" w:styleId="BodyText">
    <w:name w:val="Body Text"/>
    <w:basedOn w:val="Normal"/>
    <w:link w:val="BodyTextChar"/>
    <w:uiPriority w:val="1"/>
    <w:qFormat/>
    <w:rsid w:val="0024449C"/>
    <w:pPr>
      <w:widowControl w:val="0"/>
      <w:autoSpaceDE w:val="0"/>
      <w:autoSpaceDN w:val="0"/>
      <w:spacing w:after="0" w:line="240" w:lineRule="auto"/>
    </w:pPr>
    <w:rPr>
      <w:rFonts w:eastAsia="Arial"/>
      <w:sz w:val="24"/>
      <w:szCs w:val="24"/>
    </w:rPr>
  </w:style>
  <w:style w:type="character" w:customStyle="1" w:styleId="BodyTextChar">
    <w:name w:val="Body Text Char"/>
    <w:basedOn w:val="DefaultParagraphFont"/>
    <w:link w:val="BodyText"/>
    <w:uiPriority w:val="1"/>
    <w:rsid w:val="0024449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829">
      <w:bodyDiv w:val="1"/>
      <w:marLeft w:val="0"/>
      <w:marRight w:val="0"/>
      <w:marTop w:val="0"/>
      <w:marBottom w:val="0"/>
      <w:divBdr>
        <w:top w:val="none" w:sz="0" w:space="0" w:color="auto"/>
        <w:left w:val="none" w:sz="0" w:space="0" w:color="auto"/>
        <w:bottom w:val="none" w:sz="0" w:space="0" w:color="auto"/>
        <w:right w:val="none" w:sz="0" w:space="0" w:color="auto"/>
      </w:divBdr>
    </w:div>
    <w:div w:id="80034783">
      <w:bodyDiv w:val="1"/>
      <w:marLeft w:val="0"/>
      <w:marRight w:val="0"/>
      <w:marTop w:val="0"/>
      <w:marBottom w:val="0"/>
      <w:divBdr>
        <w:top w:val="none" w:sz="0" w:space="0" w:color="auto"/>
        <w:left w:val="none" w:sz="0" w:space="0" w:color="auto"/>
        <w:bottom w:val="none" w:sz="0" w:space="0" w:color="auto"/>
        <w:right w:val="none" w:sz="0" w:space="0" w:color="auto"/>
      </w:divBdr>
    </w:div>
    <w:div w:id="537086995">
      <w:bodyDiv w:val="1"/>
      <w:marLeft w:val="0"/>
      <w:marRight w:val="0"/>
      <w:marTop w:val="0"/>
      <w:marBottom w:val="0"/>
      <w:divBdr>
        <w:top w:val="none" w:sz="0" w:space="0" w:color="auto"/>
        <w:left w:val="none" w:sz="0" w:space="0" w:color="auto"/>
        <w:bottom w:val="none" w:sz="0" w:space="0" w:color="auto"/>
        <w:right w:val="none" w:sz="0" w:space="0" w:color="auto"/>
      </w:divBdr>
    </w:div>
    <w:div w:id="580871965">
      <w:bodyDiv w:val="1"/>
      <w:marLeft w:val="0"/>
      <w:marRight w:val="0"/>
      <w:marTop w:val="0"/>
      <w:marBottom w:val="0"/>
      <w:divBdr>
        <w:top w:val="none" w:sz="0" w:space="0" w:color="auto"/>
        <w:left w:val="none" w:sz="0" w:space="0" w:color="auto"/>
        <w:bottom w:val="none" w:sz="0" w:space="0" w:color="auto"/>
        <w:right w:val="none" w:sz="0" w:space="0" w:color="auto"/>
      </w:divBdr>
    </w:div>
    <w:div w:id="1014503653">
      <w:bodyDiv w:val="1"/>
      <w:marLeft w:val="0"/>
      <w:marRight w:val="0"/>
      <w:marTop w:val="0"/>
      <w:marBottom w:val="0"/>
      <w:divBdr>
        <w:top w:val="none" w:sz="0" w:space="0" w:color="auto"/>
        <w:left w:val="none" w:sz="0" w:space="0" w:color="auto"/>
        <w:bottom w:val="none" w:sz="0" w:space="0" w:color="auto"/>
        <w:right w:val="none" w:sz="0" w:space="0" w:color="auto"/>
      </w:divBdr>
    </w:div>
    <w:div w:id="1303342201">
      <w:bodyDiv w:val="1"/>
      <w:marLeft w:val="0"/>
      <w:marRight w:val="0"/>
      <w:marTop w:val="0"/>
      <w:marBottom w:val="0"/>
      <w:divBdr>
        <w:top w:val="none" w:sz="0" w:space="0" w:color="auto"/>
        <w:left w:val="none" w:sz="0" w:space="0" w:color="auto"/>
        <w:bottom w:val="none" w:sz="0" w:space="0" w:color="auto"/>
        <w:right w:val="none" w:sz="0" w:space="0" w:color="auto"/>
      </w:divBdr>
    </w:div>
    <w:div w:id="1535195010">
      <w:bodyDiv w:val="1"/>
      <w:marLeft w:val="0"/>
      <w:marRight w:val="0"/>
      <w:marTop w:val="0"/>
      <w:marBottom w:val="0"/>
      <w:divBdr>
        <w:top w:val="none" w:sz="0" w:space="0" w:color="auto"/>
        <w:left w:val="none" w:sz="0" w:space="0" w:color="auto"/>
        <w:bottom w:val="none" w:sz="0" w:space="0" w:color="auto"/>
        <w:right w:val="none" w:sz="0" w:space="0" w:color="auto"/>
      </w:divBdr>
    </w:div>
    <w:div w:id="1947999273">
      <w:bodyDiv w:val="1"/>
      <w:marLeft w:val="0"/>
      <w:marRight w:val="0"/>
      <w:marTop w:val="0"/>
      <w:marBottom w:val="0"/>
      <w:divBdr>
        <w:top w:val="none" w:sz="0" w:space="0" w:color="auto"/>
        <w:left w:val="none" w:sz="0" w:space="0" w:color="auto"/>
        <w:bottom w:val="none" w:sz="0" w:space="0" w:color="auto"/>
        <w:right w:val="none" w:sz="0" w:space="0" w:color="auto"/>
      </w:divBdr>
    </w:div>
    <w:div w:id="20267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1"/>
            <c:bubble3D val="0"/>
            <c:spPr>
              <a:solidFill>
                <a:srgbClr val="F05E61"/>
              </a:solidFill>
            </c:spPr>
            <c:extLst>
              <c:ext xmlns:c16="http://schemas.microsoft.com/office/drawing/2014/chart" uri="{C3380CC4-5D6E-409C-BE32-E72D297353CC}">
                <c16:uniqueId val="{00000001-3676-459F-8F3F-7191FBFBFD1D}"/>
              </c:ext>
            </c:extLst>
          </c:dPt>
          <c:dPt>
            <c:idx val="3"/>
            <c:bubble3D val="0"/>
            <c:spPr>
              <a:solidFill>
                <a:srgbClr val="AD80CE"/>
              </a:solidFill>
            </c:spPr>
            <c:extLst>
              <c:ext xmlns:c16="http://schemas.microsoft.com/office/drawing/2014/chart" uri="{C3380CC4-5D6E-409C-BE32-E72D297353CC}">
                <c16:uniqueId val="{00000003-3676-459F-8F3F-7191FBFBFD1D}"/>
              </c:ext>
            </c:extLst>
          </c:dPt>
          <c:dLbls>
            <c:dLbl>
              <c:idx val="1"/>
              <c:layout>
                <c:manualLayout>
                  <c:x val="0.22006198067366373"/>
                  <c:y val="-0.1116206890603233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76-459F-8F3F-7191FBFBFD1D}"/>
                </c:ext>
              </c:extLst>
            </c:dLbl>
            <c:spPr>
              <a:noFill/>
              <a:ln>
                <a:noFill/>
              </a:ln>
              <a:effectLst/>
            </c:spPr>
            <c:txPr>
              <a:bodyPr/>
              <a:lstStyle/>
              <a:p>
                <a:pPr>
                  <a:defRPr sz="600" b="1">
                    <a:solidFill>
                      <a:schemeClr val="bg1"/>
                    </a:solidFill>
                    <a:latin typeface="Arial" panose="020B0604020202020204" pitchFamily="34" charset="0"/>
                    <a:cs typeface="Arial" panose="020B0604020202020204" pitchFamily="34" charset="0"/>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Sheet1!$A$2:$B$5</c:f>
              <c:strCache>
                <c:ptCount val="4"/>
                <c:pt idx="0">
                  <c:v>50 to 59</c:v>
                </c:pt>
                <c:pt idx="1">
                  <c:v>60 to 69</c:v>
                </c:pt>
                <c:pt idx="2">
                  <c:v>70 to 84</c:v>
                </c:pt>
                <c:pt idx="3">
                  <c:v>85+</c:v>
                </c:pt>
              </c:strCache>
            </c:strRef>
          </c:cat>
          <c:val>
            <c:numRef>
              <c:f>Sheet1!$C$2:$C$5</c:f>
              <c:numCache>
                <c:formatCode>#,##0</c:formatCode>
                <c:ptCount val="4"/>
                <c:pt idx="0">
                  <c:v>22659</c:v>
                </c:pt>
                <c:pt idx="1">
                  <c:v>16437</c:v>
                </c:pt>
                <c:pt idx="2">
                  <c:v>12387</c:v>
                </c:pt>
                <c:pt idx="3">
                  <c:v>3145</c:v>
                </c:pt>
              </c:numCache>
            </c:numRef>
          </c:val>
          <c:extLst>
            <c:ext xmlns:c16="http://schemas.microsoft.com/office/drawing/2014/chart" uri="{C3380CC4-5D6E-409C-BE32-E72D297353CC}">
              <c16:uniqueId val="{00000004-3676-459F-8F3F-7191FBFBFD1D}"/>
            </c:ext>
          </c:extLst>
        </c:ser>
        <c:dLbls>
          <c:dLblPos val="inEnd"/>
          <c:showLegendKey val="0"/>
          <c:showVal val="1"/>
          <c:showCatName val="0"/>
          <c:showSerName val="0"/>
          <c:showPercent val="0"/>
          <c:showBubbleSize val="0"/>
          <c:showLeaderLines val="1"/>
        </c:dLbls>
        <c:firstSliceAng val="0"/>
      </c:pieChart>
    </c:plotArea>
    <c:legend>
      <c:legendPos val="t"/>
      <c:overlay val="0"/>
      <c:txPr>
        <a:bodyPr/>
        <a:lstStyle/>
        <a:p>
          <a:pPr rtl="0">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1"/>
            <c:bubble3D val="0"/>
            <c:spPr>
              <a:solidFill>
                <a:srgbClr val="F05E61"/>
              </a:solidFill>
            </c:spPr>
            <c:extLst>
              <c:ext xmlns:c16="http://schemas.microsoft.com/office/drawing/2014/chart" uri="{C3380CC4-5D6E-409C-BE32-E72D297353CC}">
                <c16:uniqueId val="{00000001-164A-4F33-9B31-6F82F3CBCC35}"/>
              </c:ext>
            </c:extLst>
          </c:dPt>
          <c:dPt>
            <c:idx val="3"/>
            <c:bubble3D val="0"/>
            <c:spPr>
              <a:solidFill>
                <a:srgbClr val="AD80CE"/>
              </a:solidFill>
            </c:spPr>
            <c:extLst>
              <c:ext xmlns:c16="http://schemas.microsoft.com/office/drawing/2014/chart" uri="{C3380CC4-5D6E-409C-BE32-E72D297353CC}">
                <c16:uniqueId val="{00000003-164A-4F33-9B31-6F82F3CBCC35}"/>
              </c:ext>
            </c:extLst>
          </c:dPt>
          <c:dLbls>
            <c:dLbl>
              <c:idx val="0"/>
              <c:layout>
                <c:manualLayout>
                  <c:x val="-0.16046088696841496"/>
                  <c:y val="0.1055483629477159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4A-4F33-9B31-6F82F3CBCC35}"/>
                </c:ext>
              </c:extLst>
            </c:dLbl>
            <c:dLbl>
              <c:idx val="2"/>
              <c:layout>
                <c:manualLayout>
                  <c:x val="0.24271990716944539"/>
                  <c:y val="-6.12334737067574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4A-4F33-9B31-6F82F3CBCC35}"/>
                </c:ext>
              </c:extLst>
            </c:dLbl>
            <c:dLbl>
              <c:idx val="3"/>
              <c:layout>
                <c:manualLayout>
                  <c:x val="0.13262002536764245"/>
                  <c:y val="0.1003244560300269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4A-4F33-9B31-6F82F3CBCC35}"/>
                </c:ext>
              </c:extLst>
            </c:dLbl>
            <c:spPr>
              <a:noFill/>
              <a:ln>
                <a:noFill/>
              </a:ln>
              <a:effectLst/>
            </c:spPr>
            <c:txPr>
              <a:bodyPr/>
              <a:lstStyle/>
              <a:p>
                <a:pPr>
                  <a:defRPr sz="600" b="1">
                    <a:solidFill>
                      <a:schemeClr val="bg1"/>
                    </a:solidFill>
                    <a:latin typeface="Arial" panose="020B0604020202020204" pitchFamily="34" charset="0"/>
                    <a:cs typeface="Arial" panose="020B0604020202020204" pitchFamily="34" charset="0"/>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Sheet1!$E$2:$E$5</c:f>
              <c:strCache>
                <c:ptCount val="4"/>
                <c:pt idx="0">
                  <c:v>50 to 59</c:v>
                </c:pt>
                <c:pt idx="1">
                  <c:v>60 to 69</c:v>
                </c:pt>
                <c:pt idx="2">
                  <c:v>70 to 84</c:v>
                </c:pt>
                <c:pt idx="3">
                  <c:v>85+</c:v>
                </c:pt>
              </c:strCache>
            </c:strRef>
          </c:cat>
          <c:val>
            <c:numRef>
              <c:f>Sheet1!$F$2:$F$5</c:f>
              <c:numCache>
                <c:formatCode>#,##0</c:formatCode>
                <c:ptCount val="4"/>
                <c:pt idx="0">
                  <c:v>2200</c:v>
                </c:pt>
                <c:pt idx="1">
                  <c:v>1982</c:v>
                </c:pt>
                <c:pt idx="2">
                  <c:v>4574</c:v>
                </c:pt>
                <c:pt idx="3">
                  <c:v>1174</c:v>
                </c:pt>
              </c:numCache>
            </c:numRef>
          </c:val>
          <c:extLst>
            <c:ext xmlns:c16="http://schemas.microsoft.com/office/drawing/2014/chart" uri="{C3380CC4-5D6E-409C-BE32-E72D297353CC}">
              <c16:uniqueId val="{00000006-164A-4F33-9B31-6F82F3CBCC35}"/>
            </c:ext>
          </c:extLst>
        </c:ser>
        <c:dLbls>
          <c:dLblPos val="inEnd"/>
          <c:showLegendKey val="0"/>
          <c:showVal val="1"/>
          <c:showCatName val="0"/>
          <c:showSerName val="0"/>
          <c:showPercent val="0"/>
          <c:showBubbleSize val="0"/>
          <c:showLeaderLines val="1"/>
        </c:dLbls>
        <c:firstSliceAng val="0"/>
      </c:pieChart>
    </c:plotArea>
    <c:legend>
      <c:legendPos val="t"/>
      <c:overlay val="0"/>
      <c:txPr>
        <a:bodyPr/>
        <a:lstStyle/>
        <a:p>
          <a:pPr rtl="0">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1"/>
            <c:bubble3D val="0"/>
            <c:spPr>
              <a:solidFill>
                <a:srgbClr val="F05E61"/>
              </a:solidFill>
            </c:spPr>
            <c:extLst>
              <c:ext xmlns:c16="http://schemas.microsoft.com/office/drawing/2014/chart" uri="{C3380CC4-5D6E-409C-BE32-E72D297353CC}">
                <c16:uniqueId val="{00000001-BC4D-4230-8F60-2EB38231C885}"/>
              </c:ext>
            </c:extLst>
          </c:dPt>
          <c:dPt>
            <c:idx val="3"/>
            <c:bubble3D val="0"/>
            <c:spPr>
              <a:solidFill>
                <a:srgbClr val="AD80CE"/>
              </a:solidFill>
            </c:spPr>
            <c:extLst>
              <c:ext xmlns:c16="http://schemas.microsoft.com/office/drawing/2014/chart" uri="{C3380CC4-5D6E-409C-BE32-E72D297353CC}">
                <c16:uniqueId val="{00000003-BC4D-4230-8F60-2EB38231C885}"/>
              </c:ext>
            </c:extLst>
          </c:dPt>
          <c:dLbls>
            <c:dLbl>
              <c:idx val="0"/>
              <c:layout>
                <c:manualLayout>
                  <c:x val="-0.150595640372397"/>
                  <c:y val="9.7286083247206362E-2"/>
                </c:manualLayout>
              </c:layout>
              <c:spPr/>
              <c:txPr>
                <a:bodyPr/>
                <a:lstStyle/>
                <a:p>
                  <a:pPr>
                    <a:defRPr sz="600" b="1">
                      <a:solidFill>
                        <a:schemeClr val="bg1"/>
                      </a:solidFill>
                      <a:latin typeface="Arial" panose="020B0604020202020204" pitchFamily="34" charset="0"/>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4D-4230-8F60-2EB38231C885}"/>
                </c:ext>
              </c:extLst>
            </c:dLbl>
            <c:dLbl>
              <c:idx val="1"/>
              <c:spPr/>
              <c:txPr>
                <a:bodyPr/>
                <a:lstStyle/>
                <a:p>
                  <a:pPr>
                    <a:defRPr sz="600" b="1">
                      <a:solidFill>
                        <a:schemeClr val="bg1"/>
                      </a:solidFill>
                      <a:latin typeface="Arial" panose="020B0604020202020204" pitchFamily="34" charset="0"/>
                      <a:cs typeface="Arial" panose="020B0604020202020204" pitchFamily="34" charset="0"/>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BC4D-4230-8F60-2EB38231C885}"/>
                </c:ext>
              </c:extLst>
            </c:dLbl>
            <c:dLbl>
              <c:idx val="2"/>
              <c:layout>
                <c:manualLayout>
                  <c:x val="0.22013086715557748"/>
                  <c:y val="-0.13178757887181214"/>
                </c:manualLayout>
              </c:layout>
              <c:spPr/>
              <c:txPr>
                <a:bodyPr/>
                <a:lstStyle/>
                <a:p>
                  <a:pPr>
                    <a:defRPr sz="600" b="1">
                      <a:solidFill>
                        <a:schemeClr val="bg1"/>
                      </a:solidFill>
                      <a:latin typeface="Arial" panose="020B0604020202020204" pitchFamily="34" charset="0"/>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4D-4230-8F60-2EB38231C885}"/>
                </c:ext>
              </c:extLst>
            </c:dLbl>
            <c:dLbl>
              <c:idx val="3"/>
              <c:layout>
                <c:manualLayout>
                  <c:x val="0.15984965970657367"/>
                  <c:y val="0.11083023948431317"/>
                </c:manualLayout>
              </c:layout>
              <c:spPr/>
              <c:txPr>
                <a:bodyPr/>
                <a:lstStyle/>
                <a:p>
                  <a:pPr>
                    <a:defRPr sz="600" b="1">
                      <a:solidFill>
                        <a:schemeClr val="bg1"/>
                      </a:solidFill>
                      <a:latin typeface="Arial" panose="020B0604020202020204" pitchFamily="34" charset="0"/>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4D-4230-8F60-2EB38231C885}"/>
                </c:ext>
              </c:extLst>
            </c:dLbl>
            <c:spPr>
              <a:noFill/>
              <a:ln>
                <a:noFill/>
              </a:ln>
              <a:effectLst/>
            </c:spPr>
            <c:txPr>
              <a:bodyPr/>
              <a:lstStyle/>
              <a:p>
                <a:pPr>
                  <a:defRPr sz="800" b="1">
                    <a:solidFill>
                      <a:schemeClr val="bg1"/>
                    </a:solidFill>
                    <a:latin typeface="Arial" panose="020B0604020202020204" pitchFamily="34" charset="0"/>
                    <a:cs typeface="Arial" panose="020B0604020202020204" pitchFamily="34" charset="0"/>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Sheet1!$G$2:$G$5</c:f>
              <c:strCache>
                <c:ptCount val="4"/>
                <c:pt idx="0">
                  <c:v>50 to 59</c:v>
                </c:pt>
                <c:pt idx="1">
                  <c:v>60 to 69</c:v>
                </c:pt>
                <c:pt idx="2">
                  <c:v>70 to 84</c:v>
                </c:pt>
                <c:pt idx="3">
                  <c:v>85+</c:v>
                </c:pt>
              </c:strCache>
            </c:strRef>
          </c:cat>
          <c:val>
            <c:numRef>
              <c:f>Sheet1!$H$2:$H$5</c:f>
              <c:numCache>
                <c:formatCode>#,##0</c:formatCode>
                <c:ptCount val="4"/>
                <c:pt idx="0">
                  <c:v>3672</c:v>
                </c:pt>
                <c:pt idx="1">
                  <c:v>3595</c:v>
                </c:pt>
                <c:pt idx="2">
                  <c:v>7727</c:v>
                </c:pt>
                <c:pt idx="3">
                  <c:v>2519</c:v>
                </c:pt>
              </c:numCache>
            </c:numRef>
          </c:val>
          <c:extLst>
            <c:ext xmlns:c16="http://schemas.microsoft.com/office/drawing/2014/chart" uri="{C3380CC4-5D6E-409C-BE32-E72D297353CC}">
              <c16:uniqueId val="{00000006-BC4D-4230-8F60-2EB38231C885}"/>
            </c:ext>
          </c:extLst>
        </c:ser>
        <c:dLbls>
          <c:dLblPos val="inEnd"/>
          <c:showLegendKey val="0"/>
          <c:showVal val="1"/>
          <c:showCatName val="0"/>
          <c:showSerName val="0"/>
          <c:showPercent val="0"/>
          <c:showBubbleSize val="0"/>
          <c:showLeaderLines val="1"/>
        </c:dLbls>
        <c:firstSliceAng val="0"/>
      </c:pieChart>
    </c:plotArea>
    <c:legend>
      <c:legendPos val="t"/>
      <c:overlay val="0"/>
      <c:txPr>
        <a:bodyPr/>
        <a:lstStyle/>
        <a:p>
          <a:pPr rtl="0">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8e25399-2fae-4511-8e95-8232ae06af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BDC0CFEE735845AEF6AD0ADA707D4B" ma:contentTypeVersion="12" ma:contentTypeDescription="Create a new document." ma:contentTypeScope="" ma:versionID="169d827043c689ff7d734475059579bc">
  <xsd:schema xmlns:xsd="http://www.w3.org/2001/XMLSchema" xmlns:xs="http://www.w3.org/2001/XMLSchema" xmlns:p="http://schemas.microsoft.com/office/2006/metadata/properties" xmlns:ns2="a8e25399-2fae-4511-8e95-8232ae06affb" xmlns:ns3="d5f3900e-6ea6-448d-9fc5-2a1b6a96e930" targetNamespace="http://schemas.microsoft.com/office/2006/metadata/properties" ma:root="true" ma:fieldsID="bc3ee06480ab9a0ca5ae439d4c88ca4f" ns2:_="" ns3:_="">
    <xsd:import namespace="a8e25399-2fae-4511-8e95-8232ae06affb"/>
    <xsd:import namespace="d5f3900e-6ea6-448d-9fc5-2a1b6a96e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5399-2fae-4511-8e95-8232ae06a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3900e-6ea6-448d-9fc5-2a1b6a96e9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BA1A5-70E3-4213-9E54-472FFEBA159A}">
  <ds:schemaRefs>
    <ds:schemaRef ds:uri="http://schemas.openxmlformats.org/officeDocument/2006/bibliography"/>
  </ds:schemaRefs>
</ds:datastoreItem>
</file>

<file path=customXml/itemProps2.xml><?xml version="1.0" encoding="utf-8"?>
<ds:datastoreItem xmlns:ds="http://schemas.openxmlformats.org/officeDocument/2006/customXml" ds:itemID="{FFB4F2CE-77B2-493F-8551-279F1A75B815}">
  <ds:schemaRefs>
    <ds:schemaRef ds:uri="http://schemas.microsoft.com/sharepoint/v3/contenttype/forms"/>
  </ds:schemaRefs>
</ds:datastoreItem>
</file>

<file path=customXml/itemProps3.xml><?xml version="1.0" encoding="utf-8"?>
<ds:datastoreItem xmlns:ds="http://schemas.openxmlformats.org/officeDocument/2006/customXml" ds:itemID="{67FB3745-7F6E-42B8-8328-3A71476781D2}">
  <ds:schemaRefs>
    <ds:schemaRef ds:uri="http://schemas.microsoft.com/office/2006/metadata/properties"/>
    <ds:schemaRef ds:uri="http://schemas.microsoft.com/office/infopath/2007/PartnerControls"/>
    <ds:schemaRef ds:uri="a8e25399-2fae-4511-8e95-8232ae06affb"/>
  </ds:schemaRefs>
</ds:datastoreItem>
</file>

<file path=customXml/itemProps4.xml><?xml version="1.0" encoding="utf-8"?>
<ds:datastoreItem xmlns:ds="http://schemas.openxmlformats.org/officeDocument/2006/customXml" ds:itemID="{0BB1444D-C67E-4FBA-8B49-60200BD31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5399-2fae-4511-8e95-8232ae06affb"/>
    <ds:schemaRef ds:uri="d5f3900e-6ea6-448d-9fc5-2a1b6a96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Harris</dc:creator>
  <cp:lastModifiedBy>Simon Watts</cp:lastModifiedBy>
  <cp:revision>2</cp:revision>
  <dcterms:created xsi:type="dcterms:W3CDTF">2021-05-11T03:51:00Z</dcterms:created>
  <dcterms:modified xsi:type="dcterms:W3CDTF">2021-05-11T03:51:00Z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0x01010098BDC0CFEE735845AEF6AD0ADA707D4B</vt:lpwstr>
  </property>
</Properties>
</file>