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7B3B" w14:textId="77777777" w:rsidR="008C14FF" w:rsidRDefault="00C64A2F">
      <w:pPr>
        <w:pStyle w:val="BodyText"/>
        <w:ind w:left="5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8802D5" wp14:editId="57E15BED">
            <wp:extent cx="5222422" cy="6445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422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E54F6" w14:textId="77777777" w:rsidR="008C14FF" w:rsidRDefault="008C14FF">
      <w:pPr>
        <w:pStyle w:val="BodyText"/>
        <w:rPr>
          <w:rFonts w:ascii="Times New Roman"/>
          <w:sz w:val="20"/>
        </w:rPr>
      </w:pPr>
    </w:p>
    <w:p w14:paraId="720E22A1" w14:textId="77777777" w:rsidR="008C14FF" w:rsidRDefault="008C14FF">
      <w:pPr>
        <w:pStyle w:val="BodyText"/>
        <w:spacing w:before="7"/>
        <w:rPr>
          <w:rFonts w:ascii="Times New Roman"/>
          <w:sz w:val="26"/>
        </w:rPr>
      </w:pPr>
    </w:p>
    <w:p w14:paraId="23535C59" w14:textId="77777777" w:rsidR="008C14FF" w:rsidRDefault="00C64A2F">
      <w:pPr>
        <w:spacing w:before="89"/>
        <w:ind w:left="1332" w:right="1557" w:firstLine="179"/>
        <w:rPr>
          <w:b/>
          <w:sz w:val="32"/>
        </w:rPr>
      </w:pPr>
      <w:r>
        <w:rPr>
          <w:b/>
          <w:sz w:val="32"/>
        </w:rPr>
        <w:t xml:space="preserve">Draft Gender Equal Representation Policy (Councillor Committees, </w:t>
      </w:r>
      <w:proofErr w:type="gramStart"/>
      <w:r>
        <w:rPr>
          <w:b/>
          <w:sz w:val="32"/>
        </w:rPr>
        <w:t>boards</w:t>
      </w:r>
      <w:proofErr w:type="gramEnd"/>
      <w:r>
        <w:rPr>
          <w:b/>
          <w:sz w:val="32"/>
        </w:rPr>
        <w:t xml:space="preserve"> and panels)</w:t>
      </w:r>
    </w:p>
    <w:p w14:paraId="500A956D" w14:textId="77777777" w:rsidR="008C14FF" w:rsidRDefault="008C14FF">
      <w:pPr>
        <w:pStyle w:val="BodyText"/>
        <w:rPr>
          <w:b/>
          <w:sz w:val="20"/>
        </w:rPr>
      </w:pPr>
    </w:p>
    <w:p w14:paraId="4113614C" w14:textId="77777777" w:rsidR="008C14FF" w:rsidRDefault="008C14FF">
      <w:pPr>
        <w:pStyle w:val="BodyText"/>
        <w:rPr>
          <w:b/>
          <w:sz w:val="20"/>
        </w:rPr>
      </w:pPr>
    </w:p>
    <w:p w14:paraId="1F886D43" w14:textId="77777777" w:rsidR="008C14FF" w:rsidRDefault="008C14FF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842"/>
      </w:tblGrid>
      <w:tr w:rsidR="008C14FF" w14:paraId="1FD35429" w14:textId="77777777">
        <w:trPr>
          <w:trHeight w:val="757"/>
        </w:trPr>
        <w:tc>
          <w:tcPr>
            <w:tcW w:w="3545" w:type="dxa"/>
            <w:shd w:val="clear" w:color="auto" w:fill="D9D9D9"/>
          </w:tcPr>
          <w:p w14:paraId="4FD47636" w14:textId="77777777" w:rsidR="008C14FF" w:rsidRDefault="00C64A2F">
            <w:pPr>
              <w:pStyle w:val="TableParagraph"/>
              <w:spacing w:before="189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842" w:type="dxa"/>
          </w:tcPr>
          <w:p w14:paraId="24C7CB69" w14:textId="77777777" w:rsidR="008C14FF" w:rsidRDefault="00C64A2F">
            <w:pPr>
              <w:pStyle w:val="TableParagraph"/>
              <w:ind w:right="495"/>
            </w:pPr>
            <w:r>
              <w:t xml:space="preserve">Draft Gender Equal Representation Policy (Councillor Committees, </w:t>
            </w:r>
            <w:proofErr w:type="gramStart"/>
            <w:r>
              <w:t>boards</w:t>
            </w:r>
            <w:proofErr w:type="gramEnd"/>
            <w:r>
              <w:t xml:space="preserve"> and panels)</w:t>
            </w:r>
          </w:p>
        </w:tc>
      </w:tr>
      <w:tr w:rsidR="008C14FF" w14:paraId="17A4D373" w14:textId="77777777">
        <w:trPr>
          <w:trHeight w:val="1264"/>
        </w:trPr>
        <w:tc>
          <w:tcPr>
            <w:tcW w:w="3545" w:type="dxa"/>
            <w:shd w:val="clear" w:color="auto" w:fill="D9D9D9"/>
          </w:tcPr>
          <w:p w14:paraId="09507AA5" w14:textId="77777777" w:rsidR="008C14FF" w:rsidRDefault="008C14FF">
            <w:pPr>
              <w:pStyle w:val="TableParagraph"/>
              <w:ind w:left="0"/>
              <w:rPr>
                <w:b/>
                <w:sz w:val="24"/>
              </w:rPr>
            </w:pPr>
          </w:p>
          <w:p w14:paraId="6F7DC5EF" w14:textId="77777777" w:rsidR="008C14FF" w:rsidRDefault="00C64A2F">
            <w:pPr>
              <w:pStyle w:val="TableParagraph"/>
              <w:spacing w:before="168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842" w:type="dxa"/>
          </w:tcPr>
          <w:p w14:paraId="471F524B" w14:textId="77777777" w:rsidR="008C14FF" w:rsidRDefault="00C64A2F">
            <w:pPr>
              <w:pStyle w:val="TableParagraph"/>
              <w:ind w:right="93"/>
              <w:jc w:val="both"/>
            </w:pPr>
            <w:r>
              <w:t xml:space="preserve">This Policy ensures that Council has gender representation on committees, </w:t>
            </w:r>
            <w:proofErr w:type="gramStart"/>
            <w:r>
              <w:t>boards</w:t>
            </w:r>
            <w:proofErr w:type="gramEnd"/>
            <w:r>
              <w:t xml:space="preserve"> and panels to engage fairly and equitably with all its members, in a positive, respectful and constructive manner.</w:t>
            </w:r>
          </w:p>
        </w:tc>
      </w:tr>
      <w:tr w:rsidR="008C14FF" w14:paraId="4BE6CE80" w14:textId="77777777">
        <w:trPr>
          <w:trHeight w:val="1012"/>
        </w:trPr>
        <w:tc>
          <w:tcPr>
            <w:tcW w:w="3545" w:type="dxa"/>
            <w:shd w:val="clear" w:color="auto" w:fill="D9D9D9"/>
          </w:tcPr>
          <w:p w14:paraId="2950B234" w14:textId="77777777" w:rsidR="008C14FF" w:rsidRDefault="008C14FF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17D13D0D" w14:textId="77777777" w:rsidR="008C14FF" w:rsidRDefault="00C64A2F">
            <w:pPr>
              <w:pStyle w:val="TableParagraph"/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5842" w:type="dxa"/>
          </w:tcPr>
          <w:p w14:paraId="511FCC20" w14:textId="77777777" w:rsidR="008C14FF" w:rsidRDefault="00C64A2F">
            <w:pPr>
              <w:pStyle w:val="TableParagraph"/>
              <w:ind w:right="495"/>
            </w:pPr>
            <w:r>
              <w:t xml:space="preserve">On 8 December 2020, Council resolved to create </w:t>
            </w:r>
            <w:r>
              <w:t xml:space="preserve">a policy on Gender Equal Representation on Councillor committees, </w:t>
            </w:r>
            <w:proofErr w:type="gramStart"/>
            <w:r>
              <w:t>boards</w:t>
            </w:r>
            <w:proofErr w:type="gramEnd"/>
            <w:r>
              <w:t xml:space="preserve"> and panels.</w:t>
            </w:r>
          </w:p>
        </w:tc>
      </w:tr>
      <w:tr w:rsidR="008C14FF" w14:paraId="5FC77E47" w14:textId="77777777">
        <w:trPr>
          <w:trHeight w:val="510"/>
        </w:trPr>
        <w:tc>
          <w:tcPr>
            <w:tcW w:w="3545" w:type="dxa"/>
            <w:shd w:val="clear" w:color="auto" w:fill="D9D9D9"/>
          </w:tcPr>
          <w:p w14:paraId="708CED66" w14:textId="77777777" w:rsidR="008C14FF" w:rsidRDefault="00C64A2F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Policy Type</w:t>
            </w:r>
          </w:p>
        </w:tc>
        <w:tc>
          <w:tcPr>
            <w:tcW w:w="5842" w:type="dxa"/>
          </w:tcPr>
          <w:p w14:paraId="697C4748" w14:textId="77777777" w:rsidR="008C14FF" w:rsidRDefault="00C64A2F">
            <w:pPr>
              <w:pStyle w:val="TableParagraph"/>
              <w:spacing w:before="64"/>
            </w:pPr>
            <w:r>
              <w:t>Council</w:t>
            </w:r>
          </w:p>
        </w:tc>
      </w:tr>
      <w:tr w:rsidR="008C14FF" w14:paraId="14C687F3" w14:textId="77777777">
        <w:trPr>
          <w:trHeight w:val="721"/>
        </w:trPr>
        <w:tc>
          <w:tcPr>
            <w:tcW w:w="3545" w:type="dxa"/>
            <w:shd w:val="clear" w:color="auto" w:fill="D9D9D9"/>
          </w:tcPr>
          <w:p w14:paraId="034463EE" w14:textId="77777777" w:rsidR="008C14FF" w:rsidRDefault="00C64A2F">
            <w:pPr>
              <w:pStyle w:val="TableParagraph"/>
              <w:spacing w:before="69" w:line="278" w:lineRule="auto"/>
              <w:ind w:right="962"/>
              <w:rPr>
                <w:b/>
              </w:rPr>
            </w:pPr>
            <w:r>
              <w:rPr>
                <w:b/>
              </w:rPr>
              <w:t>Relevant Strategic Plan Objective</w:t>
            </w:r>
          </w:p>
        </w:tc>
        <w:tc>
          <w:tcPr>
            <w:tcW w:w="5842" w:type="dxa"/>
          </w:tcPr>
          <w:p w14:paraId="71BA57C8" w14:textId="77777777" w:rsidR="008C14FF" w:rsidRDefault="00C64A2F">
            <w:pPr>
              <w:pStyle w:val="TableParagraph"/>
            </w:pPr>
            <w:r>
              <w:t>Strategic Direction 5: Progressive local leadership</w:t>
            </w:r>
          </w:p>
        </w:tc>
      </w:tr>
      <w:tr w:rsidR="008C14FF" w14:paraId="303794FC" w14:textId="77777777">
        <w:trPr>
          <w:trHeight w:val="510"/>
        </w:trPr>
        <w:tc>
          <w:tcPr>
            <w:tcW w:w="3545" w:type="dxa"/>
            <w:shd w:val="clear" w:color="auto" w:fill="D9D9D9"/>
          </w:tcPr>
          <w:p w14:paraId="1F5A3C3D" w14:textId="77777777" w:rsidR="008C14FF" w:rsidRDefault="00C64A2F">
            <w:pPr>
              <w:pStyle w:val="TableParagraph"/>
              <w:spacing w:before="129"/>
              <w:rPr>
                <w:b/>
              </w:rPr>
            </w:pPr>
            <w:r>
              <w:rPr>
                <w:b/>
              </w:rPr>
              <w:t>Relevant Council References</w:t>
            </w:r>
          </w:p>
        </w:tc>
        <w:tc>
          <w:tcPr>
            <w:tcW w:w="5842" w:type="dxa"/>
          </w:tcPr>
          <w:p w14:paraId="63C5A429" w14:textId="77777777" w:rsidR="008C14FF" w:rsidRDefault="00C64A2F">
            <w:pPr>
              <w:pStyle w:val="TableParagraph"/>
              <w:spacing w:before="67"/>
            </w:pPr>
            <w:r>
              <w:t>N/A</w:t>
            </w:r>
          </w:p>
        </w:tc>
      </w:tr>
      <w:tr w:rsidR="008C14FF" w14:paraId="55CB5F5B" w14:textId="77777777">
        <w:trPr>
          <w:trHeight w:val="510"/>
        </w:trPr>
        <w:tc>
          <w:tcPr>
            <w:tcW w:w="3545" w:type="dxa"/>
            <w:shd w:val="clear" w:color="auto" w:fill="D9D9D9"/>
          </w:tcPr>
          <w:p w14:paraId="5F5B4416" w14:textId="77777777" w:rsidR="008C14FF" w:rsidRDefault="00C64A2F">
            <w:pPr>
              <w:pStyle w:val="TableParagraph"/>
              <w:spacing w:before="2" w:line="250" w:lineRule="atLeast"/>
              <w:ind w:right="217"/>
              <w:rPr>
                <w:b/>
              </w:rPr>
            </w:pPr>
            <w:r>
              <w:rPr>
                <w:b/>
              </w:rPr>
              <w:t>Main Legislative or Regulatory Reference</w:t>
            </w:r>
          </w:p>
        </w:tc>
        <w:tc>
          <w:tcPr>
            <w:tcW w:w="5842" w:type="dxa"/>
          </w:tcPr>
          <w:p w14:paraId="4B4FF734" w14:textId="77777777" w:rsidR="008C14FF" w:rsidRDefault="00C64A2F">
            <w:pPr>
              <w:pStyle w:val="TableParagraph"/>
              <w:spacing w:before="129"/>
            </w:pPr>
            <w:r>
              <w:t>Anti-Discrimination Act 1977</w:t>
            </w:r>
          </w:p>
        </w:tc>
      </w:tr>
      <w:tr w:rsidR="008C14FF" w14:paraId="0093A13E" w14:textId="77777777">
        <w:trPr>
          <w:trHeight w:val="508"/>
        </w:trPr>
        <w:tc>
          <w:tcPr>
            <w:tcW w:w="3545" w:type="dxa"/>
            <w:shd w:val="clear" w:color="auto" w:fill="D9D9D9"/>
          </w:tcPr>
          <w:p w14:paraId="7615FB40" w14:textId="77777777" w:rsidR="008C14FF" w:rsidRDefault="00C64A2F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Record Notes</w:t>
            </w:r>
          </w:p>
        </w:tc>
        <w:tc>
          <w:tcPr>
            <w:tcW w:w="5842" w:type="dxa"/>
          </w:tcPr>
          <w:p w14:paraId="4454B43F" w14:textId="77777777" w:rsidR="008C14FF" w:rsidRDefault="00C64A2F">
            <w:pPr>
              <w:pStyle w:val="TableParagraph"/>
              <w:spacing w:before="64"/>
            </w:pPr>
            <w:r>
              <w:t>Externally available document</w:t>
            </w:r>
          </w:p>
        </w:tc>
      </w:tr>
      <w:tr w:rsidR="008C14FF" w14:paraId="23369C33" w14:textId="77777777">
        <w:trPr>
          <w:trHeight w:val="510"/>
        </w:trPr>
        <w:tc>
          <w:tcPr>
            <w:tcW w:w="3545" w:type="dxa"/>
            <w:shd w:val="clear" w:color="auto" w:fill="D9D9D9"/>
          </w:tcPr>
          <w:p w14:paraId="3A9D7E85" w14:textId="77777777" w:rsidR="008C14FF" w:rsidRDefault="00C64A2F">
            <w:pPr>
              <w:pStyle w:val="TableParagraph"/>
              <w:spacing w:before="67"/>
              <w:rPr>
                <w:b/>
              </w:rPr>
            </w:pPr>
            <w:r>
              <w:rPr>
                <w:b/>
              </w:rPr>
              <w:t>Version Control</w:t>
            </w:r>
          </w:p>
        </w:tc>
        <w:tc>
          <w:tcPr>
            <w:tcW w:w="5842" w:type="dxa"/>
          </w:tcPr>
          <w:p w14:paraId="470B9A98" w14:textId="77777777" w:rsidR="008C14FF" w:rsidRDefault="00C64A2F">
            <w:pPr>
              <w:pStyle w:val="TableParagraph"/>
              <w:spacing w:before="67"/>
            </w:pPr>
            <w:r>
              <w:t>See below</w:t>
            </w:r>
          </w:p>
        </w:tc>
      </w:tr>
    </w:tbl>
    <w:p w14:paraId="01132859" w14:textId="77777777" w:rsidR="008C14FF" w:rsidRDefault="008C14FF">
      <w:pPr>
        <w:pStyle w:val="BodyText"/>
        <w:rPr>
          <w:b/>
          <w:sz w:val="20"/>
        </w:rPr>
      </w:pPr>
    </w:p>
    <w:p w14:paraId="56FF8D50" w14:textId="77777777" w:rsidR="008C14FF" w:rsidRDefault="008C14FF">
      <w:pPr>
        <w:pStyle w:val="BodyText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3218"/>
        <w:gridCol w:w="1946"/>
        <w:gridCol w:w="729"/>
      </w:tblGrid>
      <w:tr w:rsidR="008C14FF" w14:paraId="5E6770D3" w14:textId="77777777">
        <w:trPr>
          <w:trHeight w:val="170"/>
        </w:trPr>
        <w:tc>
          <w:tcPr>
            <w:tcW w:w="3463" w:type="dxa"/>
            <w:shd w:val="clear" w:color="auto" w:fill="D0CECE"/>
          </w:tcPr>
          <w:p w14:paraId="24DD0BA2" w14:textId="77777777" w:rsidR="008C14FF" w:rsidRDefault="00C64A2F">
            <w:pPr>
              <w:pStyle w:val="TableParagraph"/>
              <w:spacing w:line="150" w:lineRule="exac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Document:</w:t>
            </w:r>
          </w:p>
        </w:tc>
        <w:tc>
          <w:tcPr>
            <w:tcW w:w="3218" w:type="dxa"/>
          </w:tcPr>
          <w:p w14:paraId="4F14156D" w14:textId="77777777" w:rsidR="008C14FF" w:rsidRDefault="00C64A2F">
            <w:pPr>
              <w:pStyle w:val="TableParagraph"/>
              <w:spacing w:line="150" w:lineRule="exac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Policy</w:t>
            </w:r>
          </w:p>
        </w:tc>
        <w:tc>
          <w:tcPr>
            <w:tcW w:w="2675" w:type="dxa"/>
            <w:gridSpan w:val="2"/>
            <w:shd w:val="clear" w:color="auto" w:fill="D0CECE"/>
          </w:tcPr>
          <w:p w14:paraId="5086CCB1" w14:textId="77777777" w:rsidR="008C14FF" w:rsidRDefault="00C64A2F">
            <w:pPr>
              <w:pStyle w:val="TableParagraph"/>
              <w:spacing w:before="12" w:line="137" w:lineRule="exact"/>
              <w:ind w:left="542"/>
              <w:rPr>
                <w:rFonts w:ascii="Calibri"/>
                <w:i/>
                <w:sz w:val="12"/>
              </w:rPr>
            </w:pPr>
            <w:r>
              <w:rPr>
                <w:rFonts w:ascii="Calibri"/>
                <w:i/>
                <w:sz w:val="12"/>
              </w:rPr>
              <w:t>Uncontrolled Copy When Printed</w:t>
            </w:r>
          </w:p>
        </w:tc>
      </w:tr>
      <w:tr w:rsidR="008C14FF" w14:paraId="177D78F9" w14:textId="77777777">
        <w:trPr>
          <w:trHeight w:val="342"/>
        </w:trPr>
        <w:tc>
          <w:tcPr>
            <w:tcW w:w="3463" w:type="dxa"/>
            <w:shd w:val="clear" w:color="auto" w:fill="D0CECE"/>
          </w:tcPr>
          <w:p w14:paraId="41603647" w14:textId="77777777" w:rsidR="008C14FF" w:rsidRDefault="00C64A2F">
            <w:pPr>
              <w:pStyle w:val="TableParagraph"/>
              <w:spacing w:before="8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Custodian:</w:t>
            </w:r>
          </w:p>
        </w:tc>
        <w:tc>
          <w:tcPr>
            <w:tcW w:w="3218" w:type="dxa"/>
          </w:tcPr>
          <w:p w14:paraId="230F23A7" w14:textId="77777777" w:rsidR="008C14FF" w:rsidRDefault="008C14FF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14:paraId="16D779B0" w14:textId="77777777" w:rsidR="008C14FF" w:rsidRDefault="00C64A2F">
            <w:pPr>
              <w:pStyle w:val="TableParagraph"/>
              <w:spacing w:line="152" w:lineRule="exac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Governance Manager</w:t>
            </w:r>
          </w:p>
        </w:tc>
        <w:tc>
          <w:tcPr>
            <w:tcW w:w="1946" w:type="dxa"/>
            <w:shd w:val="clear" w:color="auto" w:fill="D0CECE"/>
          </w:tcPr>
          <w:p w14:paraId="63641B5E" w14:textId="77777777" w:rsidR="008C14FF" w:rsidRDefault="00C64A2F">
            <w:pPr>
              <w:pStyle w:val="TableParagraph"/>
              <w:spacing w:before="85"/>
              <w:ind w:left="10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Version #</w:t>
            </w:r>
          </w:p>
        </w:tc>
        <w:tc>
          <w:tcPr>
            <w:tcW w:w="729" w:type="dxa"/>
          </w:tcPr>
          <w:p w14:paraId="127ADB77" w14:textId="77777777" w:rsidR="008C14FF" w:rsidRDefault="00C64A2F">
            <w:pPr>
              <w:pStyle w:val="TableParagraph"/>
              <w:spacing w:before="1" w:line="171" w:lineRule="exact"/>
              <w:ind w:left="10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Version</w:t>
            </w:r>
          </w:p>
          <w:p w14:paraId="0E421071" w14:textId="77777777" w:rsidR="008C14FF" w:rsidRDefault="00C64A2F">
            <w:pPr>
              <w:pStyle w:val="TableParagraph"/>
              <w:spacing w:line="151" w:lineRule="exact"/>
              <w:ind w:left="108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#</w:t>
            </w:r>
          </w:p>
        </w:tc>
      </w:tr>
      <w:tr w:rsidR="008C14FF" w14:paraId="2DB699F1" w14:textId="77777777">
        <w:trPr>
          <w:trHeight w:val="170"/>
        </w:trPr>
        <w:tc>
          <w:tcPr>
            <w:tcW w:w="3463" w:type="dxa"/>
            <w:shd w:val="clear" w:color="auto" w:fill="D0CECE"/>
          </w:tcPr>
          <w:p w14:paraId="4396AB98" w14:textId="77777777" w:rsidR="008C14FF" w:rsidRDefault="00C64A2F">
            <w:pPr>
              <w:pStyle w:val="TableParagraph"/>
              <w:spacing w:line="150" w:lineRule="exac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Approved By:</w:t>
            </w:r>
          </w:p>
        </w:tc>
        <w:tc>
          <w:tcPr>
            <w:tcW w:w="3218" w:type="dxa"/>
          </w:tcPr>
          <w:p w14:paraId="0641B679" w14:textId="77777777" w:rsidR="008C14FF" w:rsidRDefault="00C64A2F">
            <w:pPr>
              <w:pStyle w:val="TableParagraph"/>
              <w:spacing w:line="150" w:lineRule="exac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Acting General Manager</w:t>
            </w:r>
          </w:p>
        </w:tc>
        <w:tc>
          <w:tcPr>
            <w:tcW w:w="1946" w:type="dxa"/>
            <w:shd w:val="clear" w:color="auto" w:fill="D0CECE"/>
          </w:tcPr>
          <w:p w14:paraId="2201E1AD" w14:textId="77777777" w:rsidR="008C14FF" w:rsidRDefault="00C64A2F">
            <w:pPr>
              <w:pStyle w:val="TableParagraph"/>
              <w:spacing w:line="150" w:lineRule="exact"/>
              <w:ind w:left="10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ECM Ref #</w:t>
            </w:r>
          </w:p>
        </w:tc>
        <w:tc>
          <w:tcPr>
            <w:tcW w:w="729" w:type="dxa"/>
          </w:tcPr>
          <w:p w14:paraId="3D3B79A6" w14:textId="77777777" w:rsidR="008C14FF" w:rsidRDefault="008C14F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C14FF" w14:paraId="3F354FBC" w14:textId="77777777">
        <w:trPr>
          <w:trHeight w:val="294"/>
        </w:trPr>
        <w:tc>
          <w:tcPr>
            <w:tcW w:w="3463" w:type="dxa"/>
            <w:shd w:val="clear" w:color="auto" w:fill="D0CECE"/>
          </w:tcPr>
          <w:p w14:paraId="513C74B6" w14:textId="77777777" w:rsidR="008C14FF" w:rsidRDefault="00C64A2F">
            <w:pPr>
              <w:pStyle w:val="TableParagraph"/>
              <w:spacing w:before="61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Adopted By:</w:t>
            </w:r>
          </w:p>
        </w:tc>
        <w:tc>
          <w:tcPr>
            <w:tcW w:w="3218" w:type="dxa"/>
          </w:tcPr>
          <w:p w14:paraId="175652DF" w14:textId="77777777" w:rsidR="008C14FF" w:rsidRDefault="00C64A2F">
            <w:pPr>
              <w:pStyle w:val="TableParagraph"/>
              <w:spacing w:before="121" w:line="154" w:lineRule="exac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Council</w:t>
            </w:r>
          </w:p>
        </w:tc>
        <w:tc>
          <w:tcPr>
            <w:tcW w:w="1946" w:type="dxa"/>
            <w:shd w:val="clear" w:color="auto" w:fill="D0CECE"/>
          </w:tcPr>
          <w:p w14:paraId="65B5E5F0" w14:textId="77777777" w:rsidR="008C14FF" w:rsidRDefault="00C64A2F">
            <w:pPr>
              <w:pStyle w:val="TableParagraph"/>
              <w:spacing w:before="61"/>
              <w:ind w:left="10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Publish Location</w:t>
            </w:r>
          </w:p>
        </w:tc>
        <w:tc>
          <w:tcPr>
            <w:tcW w:w="729" w:type="dxa"/>
          </w:tcPr>
          <w:p w14:paraId="0E43197C" w14:textId="77777777" w:rsidR="008C14FF" w:rsidRDefault="00C64A2F">
            <w:pPr>
              <w:pStyle w:val="TableParagraph"/>
              <w:spacing w:before="3" w:line="140" w:lineRule="atLeast"/>
              <w:ind w:left="108" w:right="14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Intranet/ Internet</w:t>
            </w:r>
          </w:p>
        </w:tc>
      </w:tr>
      <w:tr w:rsidR="008C14FF" w14:paraId="3F5B952C" w14:textId="77777777">
        <w:trPr>
          <w:trHeight w:val="512"/>
        </w:trPr>
        <w:tc>
          <w:tcPr>
            <w:tcW w:w="3463" w:type="dxa"/>
            <w:shd w:val="clear" w:color="auto" w:fill="D0CECE"/>
          </w:tcPr>
          <w:p w14:paraId="7B40C725" w14:textId="77777777" w:rsidR="008C14FF" w:rsidRDefault="008C14FF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14:paraId="7F24CD33" w14:textId="77777777" w:rsidR="008C14FF" w:rsidRDefault="00C64A2F">
            <w:pPr>
              <w:pStyle w:val="TableParagraph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Adopted Date and Minute #:</w:t>
            </w:r>
          </w:p>
        </w:tc>
        <w:tc>
          <w:tcPr>
            <w:tcW w:w="3218" w:type="dxa"/>
          </w:tcPr>
          <w:p w14:paraId="41E119FC" w14:textId="77777777" w:rsidR="008C14FF" w:rsidRDefault="008C14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  <w:shd w:val="clear" w:color="auto" w:fill="D0CECE"/>
          </w:tcPr>
          <w:p w14:paraId="73AEA725" w14:textId="77777777" w:rsidR="008C14FF" w:rsidRDefault="008C14FF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14:paraId="0E4F250A" w14:textId="77777777" w:rsidR="008C14FF" w:rsidRDefault="00C64A2F">
            <w:pPr>
              <w:pStyle w:val="TableParagraph"/>
              <w:ind w:left="10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Next Review Date</w:t>
            </w:r>
          </w:p>
        </w:tc>
        <w:tc>
          <w:tcPr>
            <w:tcW w:w="729" w:type="dxa"/>
          </w:tcPr>
          <w:p w14:paraId="0D4CA802" w14:textId="77777777" w:rsidR="008C14FF" w:rsidRDefault="00C64A2F">
            <w:pPr>
              <w:pStyle w:val="TableParagraph"/>
              <w:ind w:left="10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 years from</w:t>
            </w:r>
          </w:p>
          <w:p w14:paraId="50D6111E" w14:textId="77777777" w:rsidR="008C14FF" w:rsidRDefault="00C64A2F">
            <w:pPr>
              <w:pStyle w:val="TableParagraph"/>
              <w:spacing w:line="153" w:lineRule="exact"/>
              <w:ind w:left="10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adoption</w:t>
            </w:r>
          </w:p>
        </w:tc>
      </w:tr>
    </w:tbl>
    <w:p w14:paraId="37769AB1" w14:textId="77777777" w:rsidR="008C14FF" w:rsidRDefault="008C14FF">
      <w:pPr>
        <w:spacing w:line="153" w:lineRule="exact"/>
        <w:rPr>
          <w:rFonts w:ascii="Calibri"/>
          <w:sz w:val="14"/>
        </w:rPr>
        <w:sectPr w:rsidR="008C14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20" w:right="1020" w:bottom="280" w:left="1260" w:header="720" w:footer="720" w:gutter="0"/>
          <w:cols w:space="720"/>
        </w:sectPr>
      </w:pPr>
    </w:p>
    <w:p w14:paraId="5C194CBE" w14:textId="77777777" w:rsidR="008C14FF" w:rsidRDefault="00C64A2F">
      <w:pPr>
        <w:pStyle w:val="Heading1"/>
        <w:numPr>
          <w:ilvl w:val="0"/>
          <w:numId w:val="1"/>
        </w:numPr>
        <w:tabs>
          <w:tab w:val="left" w:pos="1260"/>
        </w:tabs>
        <w:ind w:hanging="359"/>
      </w:pPr>
      <w:r>
        <w:lastRenderedPageBreak/>
        <w:t>Purpose</w:t>
      </w:r>
    </w:p>
    <w:p w14:paraId="51A20A10" w14:textId="77777777" w:rsidR="008C14FF" w:rsidRDefault="008C14FF">
      <w:pPr>
        <w:pStyle w:val="BodyText"/>
        <w:rPr>
          <w:b/>
        </w:rPr>
      </w:pPr>
    </w:p>
    <w:p w14:paraId="5068D703" w14:textId="77777777" w:rsidR="008C14FF" w:rsidRDefault="00C64A2F">
      <w:pPr>
        <w:pStyle w:val="BodyText"/>
        <w:spacing w:before="1"/>
        <w:ind w:left="539" w:right="776"/>
        <w:jc w:val="both"/>
      </w:pPr>
      <w:r>
        <w:t xml:space="preserve">The Gender Equal Representation Policy aims to ensure that Council offers equal opportunity for all, so that Council </w:t>
      </w:r>
      <w:proofErr w:type="gramStart"/>
      <w:r>
        <w:t>is able to</w:t>
      </w:r>
      <w:proofErr w:type="gramEnd"/>
      <w:r>
        <w:t xml:space="preserve"> meet the needs and expectations of the whole community.</w:t>
      </w:r>
    </w:p>
    <w:p w14:paraId="610D67B4" w14:textId="77777777" w:rsidR="008C14FF" w:rsidRDefault="008C14FF">
      <w:pPr>
        <w:pStyle w:val="BodyText"/>
      </w:pPr>
    </w:p>
    <w:p w14:paraId="5A504785" w14:textId="77777777" w:rsidR="008C14FF" w:rsidRDefault="00C64A2F">
      <w:pPr>
        <w:pStyle w:val="BodyText"/>
        <w:ind w:left="540" w:right="775" w:hanging="1"/>
        <w:jc w:val="both"/>
      </w:pP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ensures</w:t>
      </w:r>
      <w:r>
        <w:rPr>
          <w:spacing w:val="-5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balance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committees,</w:t>
      </w:r>
      <w:r>
        <w:rPr>
          <w:spacing w:val="-5"/>
        </w:rPr>
        <w:t xml:space="preserve"> </w:t>
      </w:r>
      <w:r>
        <w:t>boards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 which</w:t>
      </w:r>
      <w:r>
        <w:rPr>
          <w:spacing w:val="-8"/>
        </w:rPr>
        <w:t xml:space="preserve"> </w:t>
      </w:r>
      <w:r>
        <w:t>Councillors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appointed.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engages</w:t>
      </w:r>
      <w:r>
        <w:rPr>
          <w:spacing w:val="-7"/>
        </w:rPr>
        <w:t xml:space="preserve"> </w:t>
      </w:r>
      <w:r>
        <w:t>fairly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equitably with all its members, in a positive, </w:t>
      </w:r>
      <w:proofErr w:type="gramStart"/>
      <w:r>
        <w:t>respectful</w:t>
      </w:r>
      <w:proofErr w:type="gramEnd"/>
      <w:r>
        <w:t xml:space="preserve"> and constructive</w:t>
      </w:r>
      <w:r>
        <w:rPr>
          <w:spacing w:val="-14"/>
        </w:rPr>
        <w:t xml:space="preserve"> </w:t>
      </w:r>
      <w:r>
        <w:t>manner.</w:t>
      </w:r>
    </w:p>
    <w:p w14:paraId="54D49F11" w14:textId="77777777" w:rsidR="008C14FF" w:rsidRDefault="008C14FF">
      <w:pPr>
        <w:pStyle w:val="BodyText"/>
        <w:spacing w:before="10"/>
        <w:rPr>
          <w:sz w:val="21"/>
        </w:rPr>
      </w:pPr>
    </w:p>
    <w:p w14:paraId="7BE742A3" w14:textId="77777777" w:rsidR="008C14FF" w:rsidRDefault="00C64A2F">
      <w:pPr>
        <w:pStyle w:val="BodyText"/>
        <w:ind w:left="539" w:right="777"/>
        <w:jc w:val="both"/>
      </w:pPr>
      <w:r>
        <w:t xml:space="preserve">This policy relates to Councillor committees, </w:t>
      </w:r>
      <w:proofErr w:type="gramStart"/>
      <w:r>
        <w:t>boards</w:t>
      </w:r>
      <w:proofErr w:type="gramEnd"/>
      <w:r>
        <w:t xml:space="preserve"> and panel</w:t>
      </w:r>
      <w:r>
        <w:t>s such as: General Manager’s Performance Assessment Panel, Councillor representation on Council committees and participation in external committees, boards or panels.</w:t>
      </w:r>
    </w:p>
    <w:p w14:paraId="71F463E5" w14:textId="77777777" w:rsidR="008C14FF" w:rsidRDefault="008C14FF">
      <w:pPr>
        <w:pStyle w:val="BodyText"/>
        <w:rPr>
          <w:sz w:val="24"/>
        </w:rPr>
      </w:pPr>
    </w:p>
    <w:p w14:paraId="47A92B9F" w14:textId="77777777" w:rsidR="008C14FF" w:rsidRDefault="008C14FF">
      <w:pPr>
        <w:pStyle w:val="BodyText"/>
        <w:spacing w:before="2"/>
        <w:rPr>
          <w:sz w:val="24"/>
        </w:rPr>
      </w:pPr>
    </w:p>
    <w:p w14:paraId="3FFB4E1A" w14:textId="77777777" w:rsidR="008C14FF" w:rsidRDefault="00C64A2F">
      <w:pPr>
        <w:pStyle w:val="Heading1"/>
        <w:numPr>
          <w:ilvl w:val="0"/>
          <w:numId w:val="1"/>
        </w:numPr>
        <w:tabs>
          <w:tab w:val="left" w:pos="1260"/>
        </w:tabs>
        <w:spacing w:before="1"/>
        <w:ind w:hanging="359"/>
      </w:pPr>
      <w:r>
        <w:t>Definitions</w:t>
      </w:r>
    </w:p>
    <w:p w14:paraId="26EFFF08" w14:textId="77777777" w:rsidR="008C14FF" w:rsidRDefault="008C14FF">
      <w:pPr>
        <w:pStyle w:val="BodyText"/>
        <w:rPr>
          <w:b/>
        </w:rPr>
      </w:pPr>
    </w:p>
    <w:p w14:paraId="6017A999" w14:textId="77777777" w:rsidR="008C14FF" w:rsidRDefault="00C64A2F">
      <w:pPr>
        <w:pStyle w:val="BodyText"/>
        <w:ind w:left="539"/>
      </w:pPr>
      <w:r>
        <w:t>In this policy the following terms have the following meanings:</w:t>
      </w:r>
    </w:p>
    <w:p w14:paraId="06D24EAB" w14:textId="77777777" w:rsidR="008C14FF" w:rsidRDefault="008C14FF">
      <w:pPr>
        <w:pStyle w:val="BodyText"/>
        <w:spacing w:before="9"/>
        <w:rPr>
          <w:sz w:val="21"/>
        </w:rPr>
      </w:pPr>
    </w:p>
    <w:p w14:paraId="4D20A1CE" w14:textId="77777777" w:rsidR="008C14FF" w:rsidRDefault="00C64A2F">
      <w:pPr>
        <w:pStyle w:val="BodyText"/>
        <w:tabs>
          <w:tab w:val="left" w:pos="4139"/>
        </w:tabs>
        <w:ind w:left="4139" w:right="777" w:hanging="3600"/>
        <w:jc w:val="both"/>
      </w:pPr>
      <w:r>
        <w:t>Council</w:t>
      </w:r>
      <w:r>
        <w:rPr>
          <w:spacing w:val="-3"/>
        </w:rPr>
        <w:t xml:space="preserve"> </w:t>
      </w:r>
      <w:r>
        <w:t>Committee</w:t>
      </w:r>
      <w:r>
        <w:tab/>
        <w:t>A committee established by council comprising of councillors, that the council has delegated functions</w:t>
      </w:r>
      <w:r>
        <w:rPr>
          <w:spacing w:val="-3"/>
        </w:rPr>
        <w:t xml:space="preserve"> </w:t>
      </w:r>
      <w:r>
        <w:t>to.</w:t>
      </w:r>
    </w:p>
    <w:p w14:paraId="77EC31B3" w14:textId="77777777" w:rsidR="008C14FF" w:rsidRDefault="008C14FF">
      <w:pPr>
        <w:pStyle w:val="BodyText"/>
        <w:spacing w:before="1"/>
      </w:pPr>
    </w:p>
    <w:p w14:paraId="3B3BA660" w14:textId="77777777" w:rsidR="008C14FF" w:rsidRDefault="00C64A2F">
      <w:pPr>
        <w:pStyle w:val="BodyText"/>
        <w:tabs>
          <w:tab w:val="left" w:pos="4139"/>
        </w:tabs>
        <w:ind w:left="4139" w:right="775" w:hanging="3600"/>
        <w:jc w:val="both"/>
      </w:pPr>
      <w:r>
        <w:t>External</w:t>
      </w:r>
      <w:r>
        <w:rPr>
          <w:spacing w:val="-1"/>
        </w:rPr>
        <w:t xml:space="preserve"> </w:t>
      </w:r>
      <w:r>
        <w:t>committee</w:t>
      </w:r>
      <w:r>
        <w:tab/>
        <w:t>A committee established by external organisati</w:t>
      </w:r>
      <w:r>
        <w:t>ons that Council is a member of and</w:t>
      </w:r>
      <w:r>
        <w:rPr>
          <w:spacing w:val="-36"/>
        </w:rPr>
        <w:t xml:space="preserve"> </w:t>
      </w:r>
      <w:r>
        <w:t>to discuss matters relevant to their organisation which have requested councillor</w:t>
      </w:r>
      <w:r>
        <w:rPr>
          <w:spacing w:val="-19"/>
        </w:rPr>
        <w:t xml:space="preserve"> </w:t>
      </w:r>
      <w:r>
        <w:t>representation.</w:t>
      </w:r>
    </w:p>
    <w:p w14:paraId="7A6A7E93" w14:textId="77777777" w:rsidR="008C14FF" w:rsidRDefault="008C14FF">
      <w:pPr>
        <w:pStyle w:val="BodyText"/>
        <w:spacing w:before="11"/>
        <w:rPr>
          <w:sz w:val="21"/>
        </w:rPr>
      </w:pPr>
    </w:p>
    <w:p w14:paraId="6286B51A" w14:textId="77777777" w:rsidR="008C14FF" w:rsidRDefault="00C64A2F">
      <w:pPr>
        <w:pStyle w:val="BodyText"/>
        <w:tabs>
          <w:tab w:val="left" w:pos="4139"/>
        </w:tabs>
        <w:ind w:left="4139" w:right="777" w:hanging="3600"/>
        <w:jc w:val="both"/>
      </w:pPr>
      <w:r>
        <w:t>Councillor</w:t>
      </w:r>
      <w:r>
        <w:tab/>
        <w:t>Any person elected or appointed to civic office, including the mayor, and includes members and chairpersons of</w:t>
      </w:r>
      <w:r>
        <w:t xml:space="preserve"> county councils and voting representatives of the boards of joint organisations and chairpersons of joint organisations</w:t>
      </w:r>
    </w:p>
    <w:p w14:paraId="64DE8F45" w14:textId="77777777" w:rsidR="008C14FF" w:rsidRDefault="008C14FF">
      <w:pPr>
        <w:pStyle w:val="BodyText"/>
      </w:pPr>
    </w:p>
    <w:p w14:paraId="492B2853" w14:textId="77777777" w:rsidR="008C14FF" w:rsidRDefault="00C64A2F">
      <w:pPr>
        <w:pStyle w:val="BodyText"/>
        <w:tabs>
          <w:tab w:val="left" w:pos="4139"/>
        </w:tabs>
        <w:ind w:left="4138" w:right="776" w:hanging="3600"/>
        <w:jc w:val="both"/>
      </w:pPr>
      <w:r>
        <w:t>Council</w:t>
      </w:r>
      <w:r>
        <w:rPr>
          <w:spacing w:val="-3"/>
        </w:rPr>
        <w:t xml:space="preserve"> </w:t>
      </w:r>
      <w:r>
        <w:t>Official</w:t>
      </w:r>
      <w:r>
        <w:tab/>
      </w:r>
      <w:r>
        <w:tab/>
        <w:t>Councillors, members of staff of Council, administrators,</w:t>
      </w:r>
      <w:r>
        <w:rPr>
          <w:spacing w:val="-11"/>
        </w:rPr>
        <w:t xml:space="preserve"> </w:t>
      </w:r>
      <w:r>
        <w:t>community</w:t>
      </w:r>
      <w:r>
        <w:rPr>
          <w:spacing w:val="-25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Council’s Committees and Local Democracy Groups and other special interest groups, conduct reviewers and delegates of</w:t>
      </w:r>
      <w:r>
        <w:rPr>
          <w:spacing w:val="-1"/>
        </w:rPr>
        <w:t xml:space="preserve"> </w:t>
      </w:r>
      <w:r>
        <w:t>Council.</w:t>
      </w:r>
    </w:p>
    <w:p w14:paraId="17B6E553" w14:textId="77777777" w:rsidR="008C14FF" w:rsidRDefault="008C14FF">
      <w:pPr>
        <w:pStyle w:val="BodyText"/>
        <w:spacing w:before="10"/>
        <w:rPr>
          <w:sz w:val="21"/>
        </w:rPr>
      </w:pPr>
    </w:p>
    <w:p w14:paraId="5E886D94" w14:textId="77777777" w:rsidR="008C14FF" w:rsidRDefault="00C64A2F">
      <w:pPr>
        <w:pStyle w:val="BodyText"/>
        <w:tabs>
          <w:tab w:val="left" w:pos="4139"/>
        </w:tabs>
        <w:ind w:left="4139" w:right="776" w:hanging="3600"/>
        <w:jc w:val="both"/>
      </w:pPr>
      <w:r>
        <w:t>Gender</w:t>
      </w:r>
      <w:r>
        <w:rPr>
          <w:spacing w:val="-2"/>
        </w:rPr>
        <w:t xml:space="preserve"> </w:t>
      </w:r>
      <w:r>
        <w:t>Equality</w:t>
      </w:r>
      <w:r>
        <w:tab/>
        <w:t>The equal rights, responsibilities and opportunities of women, men, transgender and gender diverse/ non-binary p</w:t>
      </w:r>
      <w:r>
        <w:t>eople.</w:t>
      </w:r>
    </w:p>
    <w:p w14:paraId="32E0AB19" w14:textId="77777777" w:rsidR="008C14FF" w:rsidRDefault="008C14FF">
      <w:pPr>
        <w:pStyle w:val="BodyText"/>
        <w:spacing w:before="1"/>
      </w:pPr>
    </w:p>
    <w:p w14:paraId="701099DF" w14:textId="77777777" w:rsidR="008C14FF" w:rsidRDefault="00C64A2F">
      <w:pPr>
        <w:pStyle w:val="BodyText"/>
        <w:tabs>
          <w:tab w:val="left" w:pos="4139"/>
        </w:tabs>
        <w:ind w:left="4139" w:right="778" w:hanging="3600"/>
        <w:jc w:val="both"/>
      </w:pPr>
      <w:r>
        <w:t>Gender</w:t>
      </w:r>
      <w:r>
        <w:rPr>
          <w:spacing w:val="-1"/>
        </w:rPr>
        <w:t xml:space="preserve"> </w:t>
      </w:r>
      <w:r>
        <w:t>Equity</w:t>
      </w:r>
      <w:r>
        <w:tab/>
        <w:t>Entails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provision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fairness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 distribution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benefits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proofErr w:type="gramStart"/>
      <w:r>
        <w:t>on</w:t>
      </w:r>
      <w:r>
        <w:rPr>
          <w:spacing w:val="-10"/>
        </w:rPr>
        <w:t xml:space="preserve"> </w:t>
      </w:r>
      <w:r>
        <w:t>the basis of</w:t>
      </w:r>
      <w:proofErr w:type="gramEnd"/>
      <w:r>
        <w:t xml:space="preserve"> gender. The concept recognises that people may have different needs and power related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gender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differences should be identified and addressed in a manner that rectifies the imbalance between the</w:t>
      </w:r>
      <w:r>
        <w:rPr>
          <w:spacing w:val="-17"/>
        </w:rPr>
        <w:t xml:space="preserve"> </w:t>
      </w:r>
      <w:r>
        <w:t>sexes.</w:t>
      </w:r>
    </w:p>
    <w:p w14:paraId="47EBFE44" w14:textId="77777777" w:rsidR="008C14FF" w:rsidRDefault="008C14FF">
      <w:pPr>
        <w:jc w:val="both"/>
        <w:sectPr w:rsidR="008C14FF">
          <w:footerReference w:type="default" r:id="rId14"/>
          <w:pgSz w:w="11910" w:h="16840"/>
          <w:pgMar w:top="1580" w:right="1020" w:bottom="960" w:left="1260" w:header="0" w:footer="776" w:gutter="0"/>
          <w:pgNumType w:start="2"/>
          <w:cols w:space="720"/>
        </w:sectPr>
      </w:pPr>
    </w:p>
    <w:p w14:paraId="43865317" w14:textId="77777777" w:rsidR="008C14FF" w:rsidRDefault="00C64A2F">
      <w:pPr>
        <w:pStyle w:val="Heading1"/>
        <w:numPr>
          <w:ilvl w:val="0"/>
          <w:numId w:val="1"/>
        </w:numPr>
        <w:tabs>
          <w:tab w:val="left" w:pos="1260"/>
        </w:tabs>
      </w:pPr>
      <w:r>
        <w:lastRenderedPageBreak/>
        <w:t>Policy</w:t>
      </w:r>
      <w:r>
        <w:rPr>
          <w:spacing w:val="-1"/>
        </w:rPr>
        <w:t xml:space="preserve"> </w:t>
      </w:r>
      <w:r>
        <w:t>Statement</w:t>
      </w:r>
    </w:p>
    <w:p w14:paraId="132E71C6" w14:textId="77777777" w:rsidR="008C14FF" w:rsidRDefault="008C14FF">
      <w:pPr>
        <w:pStyle w:val="BodyText"/>
        <w:rPr>
          <w:b/>
        </w:rPr>
      </w:pPr>
    </w:p>
    <w:p w14:paraId="77CF794A" w14:textId="77777777" w:rsidR="008C14FF" w:rsidRDefault="00C64A2F">
      <w:pPr>
        <w:pStyle w:val="BodyText"/>
        <w:spacing w:before="1"/>
        <w:ind w:left="539" w:right="778"/>
        <w:jc w:val="both"/>
      </w:pPr>
      <w:r>
        <w:t xml:space="preserve">This policy demonstrates best practice principles for fair and equitable participation in committees, </w:t>
      </w:r>
      <w:proofErr w:type="gramStart"/>
      <w:r>
        <w:t>boards</w:t>
      </w:r>
      <w:proofErr w:type="gramEnd"/>
      <w:r>
        <w:t xml:space="preserve"> and panels. To ensure fair and equitable participation Council, where possible will have an even number of positions available so that appointments</w:t>
      </w:r>
      <w:r>
        <w:t xml:space="preserve"> can be made so that gender diversity is achieved.</w:t>
      </w:r>
    </w:p>
    <w:p w14:paraId="6D6D0D35" w14:textId="77777777" w:rsidR="008C14FF" w:rsidRDefault="008C14FF">
      <w:pPr>
        <w:pStyle w:val="BodyText"/>
        <w:spacing w:before="11"/>
        <w:rPr>
          <w:sz w:val="21"/>
        </w:rPr>
      </w:pPr>
    </w:p>
    <w:p w14:paraId="0BA097E1" w14:textId="77777777" w:rsidR="008C14FF" w:rsidRDefault="00C64A2F">
      <w:pPr>
        <w:pStyle w:val="BodyText"/>
        <w:ind w:left="539" w:right="778"/>
        <w:jc w:val="both"/>
      </w:pPr>
      <w:r>
        <w:t>Where</w:t>
      </w:r>
      <w:r>
        <w:rPr>
          <w:spacing w:val="-13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calls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applications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Councillor</w:t>
      </w:r>
      <w:r>
        <w:rPr>
          <w:spacing w:val="-14"/>
        </w:rPr>
        <w:t xml:space="preserve"> </w:t>
      </w:r>
      <w:r>
        <w:t>Committees,</w:t>
      </w:r>
      <w:r>
        <w:rPr>
          <w:spacing w:val="-14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encourage applications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diverse</w:t>
      </w:r>
      <w:r>
        <w:rPr>
          <w:spacing w:val="-7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referring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ensuring that the criteria for appointm</w:t>
      </w:r>
      <w:r>
        <w:t>ents to committees are gender equitable and free of any gender</w:t>
      </w:r>
      <w:r>
        <w:rPr>
          <w:spacing w:val="1"/>
        </w:rPr>
        <w:t xml:space="preserve"> </w:t>
      </w:r>
      <w:r>
        <w:t>bias.</w:t>
      </w:r>
    </w:p>
    <w:p w14:paraId="2AEF3C53" w14:textId="77777777" w:rsidR="008C14FF" w:rsidRDefault="008C14FF">
      <w:pPr>
        <w:pStyle w:val="BodyText"/>
        <w:rPr>
          <w:sz w:val="20"/>
        </w:rPr>
      </w:pPr>
    </w:p>
    <w:p w14:paraId="36EA0EB9" w14:textId="77777777" w:rsidR="008C14FF" w:rsidRDefault="008C14FF">
      <w:pPr>
        <w:pStyle w:val="BodyText"/>
        <w:spacing w:before="1"/>
        <w:rPr>
          <w:sz w:val="24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7"/>
        <w:gridCol w:w="4149"/>
      </w:tblGrid>
      <w:tr w:rsidR="008C14FF" w14:paraId="5BB037E8" w14:textId="77777777">
        <w:trPr>
          <w:trHeight w:val="251"/>
        </w:trPr>
        <w:tc>
          <w:tcPr>
            <w:tcW w:w="8296" w:type="dxa"/>
            <w:gridSpan w:val="2"/>
          </w:tcPr>
          <w:p w14:paraId="4C43AF7D" w14:textId="77777777" w:rsidR="008C14FF" w:rsidRDefault="00C64A2F">
            <w:pPr>
              <w:pStyle w:val="TableParagraph"/>
              <w:spacing w:line="232" w:lineRule="exact"/>
              <w:ind w:left="1929"/>
              <w:rPr>
                <w:b/>
              </w:rPr>
            </w:pPr>
            <w:r>
              <w:rPr>
                <w:b/>
              </w:rPr>
              <w:t xml:space="preserve">Councillor committees, </w:t>
            </w:r>
            <w:proofErr w:type="gramStart"/>
            <w:r>
              <w:rPr>
                <w:b/>
              </w:rPr>
              <w:t>boards</w:t>
            </w:r>
            <w:proofErr w:type="gramEnd"/>
            <w:r>
              <w:rPr>
                <w:b/>
              </w:rPr>
              <w:t xml:space="preserve"> and panels</w:t>
            </w:r>
          </w:p>
        </w:tc>
      </w:tr>
      <w:tr w:rsidR="008C14FF" w14:paraId="1E1D7F3B" w14:textId="77777777">
        <w:trPr>
          <w:trHeight w:val="505"/>
        </w:trPr>
        <w:tc>
          <w:tcPr>
            <w:tcW w:w="4147" w:type="dxa"/>
          </w:tcPr>
          <w:p w14:paraId="125DB5E5" w14:textId="77777777" w:rsidR="008C14FF" w:rsidRDefault="00C64A2F">
            <w:pPr>
              <w:pStyle w:val="TableParagraph"/>
            </w:pPr>
            <w:r>
              <w:t>Up to 5 members</w:t>
            </w:r>
          </w:p>
        </w:tc>
        <w:tc>
          <w:tcPr>
            <w:tcW w:w="4149" w:type="dxa"/>
          </w:tcPr>
          <w:p w14:paraId="3017DA46" w14:textId="77777777" w:rsidR="008C14FF" w:rsidRDefault="00C64A2F">
            <w:pPr>
              <w:pStyle w:val="TableParagraph"/>
              <w:tabs>
                <w:tab w:val="left" w:pos="1079"/>
                <w:tab w:val="left" w:pos="2087"/>
                <w:tab w:val="left" w:pos="2913"/>
                <w:tab w:val="left" w:pos="3798"/>
              </w:tabs>
              <w:spacing w:before="3" w:line="254" w:lineRule="exact"/>
              <w:ind w:right="93"/>
            </w:pPr>
            <w:r>
              <w:t>Gender</w:t>
            </w:r>
            <w:r>
              <w:tab/>
              <w:t>balance</w:t>
            </w:r>
            <w:r>
              <w:tab/>
              <w:t>(50%)</w:t>
            </w:r>
            <w:r>
              <w:tab/>
              <w:t>should</w:t>
            </w:r>
            <w:r>
              <w:tab/>
            </w:r>
            <w:r>
              <w:rPr>
                <w:spacing w:val="-9"/>
              </w:rPr>
              <w:t xml:space="preserve">be </w:t>
            </w:r>
            <w:r>
              <w:t>achieved where</w:t>
            </w:r>
            <w:r>
              <w:rPr>
                <w:spacing w:val="-1"/>
              </w:rPr>
              <w:t xml:space="preserve"> </w:t>
            </w:r>
            <w:r>
              <w:t>possible.</w:t>
            </w:r>
          </w:p>
        </w:tc>
      </w:tr>
      <w:tr w:rsidR="008C14FF" w14:paraId="639E4774" w14:textId="77777777">
        <w:trPr>
          <w:trHeight w:val="1007"/>
        </w:trPr>
        <w:tc>
          <w:tcPr>
            <w:tcW w:w="4147" w:type="dxa"/>
          </w:tcPr>
          <w:p w14:paraId="6CA6BF11" w14:textId="77777777" w:rsidR="008C14FF" w:rsidRDefault="00C64A2F">
            <w:pPr>
              <w:pStyle w:val="TableParagraph"/>
              <w:spacing w:line="248" w:lineRule="exact"/>
            </w:pPr>
            <w:r>
              <w:t>6 or more members</w:t>
            </w:r>
          </w:p>
        </w:tc>
        <w:tc>
          <w:tcPr>
            <w:tcW w:w="4149" w:type="dxa"/>
          </w:tcPr>
          <w:p w14:paraId="53FCD7B3" w14:textId="77777777" w:rsidR="008C14FF" w:rsidRDefault="00C64A2F">
            <w:pPr>
              <w:pStyle w:val="TableParagraph"/>
              <w:ind w:right="92"/>
              <w:jc w:val="both"/>
            </w:pPr>
            <w:r>
              <w:t>Gender balance (50%) should be achieved and should include non-binary and transgender participation where</w:t>
            </w:r>
          </w:p>
          <w:p w14:paraId="25EBD6DB" w14:textId="77777777" w:rsidR="008C14FF" w:rsidRDefault="00C64A2F">
            <w:pPr>
              <w:pStyle w:val="TableParagraph"/>
              <w:spacing w:line="232" w:lineRule="exact"/>
              <w:jc w:val="both"/>
            </w:pPr>
            <w:r>
              <w:t>possible.</w:t>
            </w:r>
          </w:p>
        </w:tc>
      </w:tr>
      <w:tr w:rsidR="008C14FF" w14:paraId="7F863B7C" w14:textId="77777777">
        <w:trPr>
          <w:trHeight w:val="460"/>
        </w:trPr>
        <w:tc>
          <w:tcPr>
            <w:tcW w:w="8296" w:type="dxa"/>
            <w:gridSpan w:val="2"/>
          </w:tcPr>
          <w:p w14:paraId="4A281A50" w14:textId="77777777" w:rsidR="008C14FF" w:rsidRDefault="00C64A2F">
            <w:pPr>
              <w:pStyle w:val="TableParagraph"/>
              <w:spacing w:before="3" w:line="230" w:lineRule="exact"/>
              <w:rPr>
                <w:sz w:val="20"/>
              </w:rPr>
            </w:pPr>
            <w:r>
              <w:rPr>
                <w:sz w:val="20"/>
              </w:rPr>
              <w:t>Note: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odd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vacancies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achieved, Council where possible will promote diversity by appointing more women than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men.</w:t>
            </w:r>
          </w:p>
        </w:tc>
      </w:tr>
    </w:tbl>
    <w:p w14:paraId="5BA50EBD" w14:textId="77777777" w:rsidR="008C14FF" w:rsidRDefault="008C14FF">
      <w:pPr>
        <w:pStyle w:val="BodyText"/>
        <w:rPr>
          <w:sz w:val="20"/>
        </w:rPr>
      </w:pPr>
    </w:p>
    <w:p w14:paraId="66334AE4" w14:textId="77777777" w:rsidR="008C14FF" w:rsidRDefault="008C14FF">
      <w:pPr>
        <w:pStyle w:val="BodyText"/>
        <w:rPr>
          <w:sz w:val="20"/>
        </w:rPr>
      </w:pPr>
    </w:p>
    <w:p w14:paraId="58CCEBB0" w14:textId="77777777" w:rsidR="008C14FF" w:rsidRDefault="008C14FF">
      <w:pPr>
        <w:pStyle w:val="BodyText"/>
        <w:spacing w:before="9"/>
        <w:rPr>
          <w:sz w:val="21"/>
        </w:rPr>
      </w:pPr>
    </w:p>
    <w:p w14:paraId="487A9721" w14:textId="77777777" w:rsidR="008C14FF" w:rsidRDefault="00C64A2F">
      <w:pPr>
        <w:pStyle w:val="Heading1"/>
        <w:ind w:left="540" w:firstLine="0"/>
      </w:pPr>
      <w:r>
        <w:t>Version Control - POLICY HISTORY:</w:t>
      </w:r>
    </w:p>
    <w:p w14:paraId="22049ED0" w14:textId="77777777" w:rsidR="008C14FF" w:rsidRDefault="00C64A2F">
      <w:pPr>
        <w:spacing w:before="162"/>
        <w:ind w:left="398"/>
        <w:rPr>
          <w:i/>
        </w:rPr>
      </w:pPr>
      <w:r>
        <w:rPr>
          <w:i/>
        </w:rPr>
        <w:t>Governance Use only: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982"/>
        <w:gridCol w:w="2978"/>
        <w:gridCol w:w="1276"/>
        <w:gridCol w:w="1415"/>
      </w:tblGrid>
      <w:tr w:rsidR="008C14FF" w14:paraId="5E91AC50" w14:textId="77777777">
        <w:trPr>
          <w:trHeight w:val="292"/>
        </w:trPr>
        <w:tc>
          <w:tcPr>
            <w:tcW w:w="1135" w:type="dxa"/>
            <w:shd w:val="clear" w:color="auto" w:fill="D0CECE"/>
          </w:tcPr>
          <w:p w14:paraId="264D5287" w14:textId="77777777" w:rsidR="008C14FF" w:rsidRDefault="00C64A2F">
            <w:pPr>
              <w:pStyle w:val="TableParagraph"/>
              <w:spacing w:before="21" w:line="251" w:lineRule="exact"/>
              <w:ind w:left="143" w:right="134"/>
              <w:jc w:val="center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982" w:type="dxa"/>
            <w:shd w:val="clear" w:color="auto" w:fill="D0CECE"/>
          </w:tcPr>
          <w:p w14:paraId="7F63CB06" w14:textId="77777777" w:rsidR="008C14FF" w:rsidRDefault="00C64A2F">
            <w:pPr>
              <w:pStyle w:val="TableParagraph"/>
              <w:spacing w:before="21" w:line="251" w:lineRule="exact"/>
              <w:ind w:left="271"/>
              <w:rPr>
                <w:b/>
              </w:rPr>
            </w:pPr>
            <w:r>
              <w:rPr>
                <w:b/>
              </w:rPr>
              <w:t>Amended By</w:t>
            </w:r>
          </w:p>
        </w:tc>
        <w:tc>
          <w:tcPr>
            <w:tcW w:w="2978" w:type="dxa"/>
            <w:shd w:val="clear" w:color="auto" w:fill="D0CECE"/>
          </w:tcPr>
          <w:p w14:paraId="3270980C" w14:textId="77777777" w:rsidR="008C14FF" w:rsidRDefault="00C64A2F">
            <w:pPr>
              <w:pStyle w:val="TableParagraph"/>
              <w:spacing w:before="21" w:line="251" w:lineRule="exact"/>
              <w:ind w:left="665"/>
              <w:rPr>
                <w:b/>
              </w:rPr>
            </w:pPr>
            <w:r>
              <w:rPr>
                <w:b/>
              </w:rPr>
              <w:t>Changes Made</w:t>
            </w:r>
          </w:p>
        </w:tc>
        <w:tc>
          <w:tcPr>
            <w:tcW w:w="1276" w:type="dxa"/>
            <w:shd w:val="clear" w:color="auto" w:fill="D0CECE"/>
          </w:tcPr>
          <w:p w14:paraId="2485C95F" w14:textId="77777777" w:rsidR="008C14FF" w:rsidRDefault="00C64A2F">
            <w:pPr>
              <w:pStyle w:val="TableParagraph"/>
              <w:spacing w:before="21" w:line="251" w:lineRule="exact"/>
              <w:ind w:left="35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5" w:type="dxa"/>
            <w:shd w:val="clear" w:color="auto" w:fill="D0CECE"/>
          </w:tcPr>
          <w:p w14:paraId="3B8B0027" w14:textId="77777777" w:rsidR="008C14FF" w:rsidRDefault="00C64A2F">
            <w:pPr>
              <w:pStyle w:val="TableParagraph"/>
              <w:spacing w:before="21" w:line="251" w:lineRule="exact"/>
              <w:ind w:left="323"/>
              <w:rPr>
                <w:b/>
              </w:rPr>
            </w:pPr>
            <w:r>
              <w:rPr>
                <w:b/>
              </w:rPr>
              <w:t>ECM #</w:t>
            </w:r>
          </w:p>
        </w:tc>
      </w:tr>
      <w:tr w:rsidR="008C14FF" w14:paraId="518FFEDA" w14:textId="77777777">
        <w:trPr>
          <w:trHeight w:val="374"/>
        </w:trPr>
        <w:tc>
          <w:tcPr>
            <w:tcW w:w="1135" w:type="dxa"/>
          </w:tcPr>
          <w:p w14:paraId="158C523B" w14:textId="77777777" w:rsidR="008C14FF" w:rsidRDefault="00C64A2F">
            <w:pPr>
              <w:pStyle w:val="TableParagraph"/>
              <w:spacing w:before="60"/>
              <w:ind w:left="10"/>
              <w:jc w:val="center"/>
            </w:pPr>
            <w:r>
              <w:t>1</w:t>
            </w:r>
          </w:p>
        </w:tc>
        <w:tc>
          <w:tcPr>
            <w:tcW w:w="1982" w:type="dxa"/>
          </w:tcPr>
          <w:p w14:paraId="433B5AC1" w14:textId="77777777" w:rsidR="008C14FF" w:rsidRDefault="00C64A2F">
            <w:pPr>
              <w:pStyle w:val="TableParagraph"/>
              <w:spacing w:before="83"/>
              <w:ind w:left="108"/>
              <w:rPr>
                <w:sz w:val="18"/>
              </w:rPr>
            </w:pPr>
            <w:r>
              <w:rPr>
                <w:sz w:val="18"/>
              </w:rPr>
              <w:t>Council</w:t>
            </w:r>
          </w:p>
        </w:tc>
        <w:tc>
          <w:tcPr>
            <w:tcW w:w="2978" w:type="dxa"/>
          </w:tcPr>
          <w:p w14:paraId="5715763A" w14:textId="77777777" w:rsidR="008C14FF" w:rsidRDefault="00C64A2F">
            <w:pPr>
              <w:pStyle w:val="TableParagraph"/>
              <w:spacing w:before="83"/>
              <w:ind w:left="108"/>
              <w:rPr>
                <w:sz w:val="18"/>
              </w:rPr>
            </w:pPr>
            <w:r>
              <w:rPr>
                <w:sz w:val="18"/>
              </w:rPr>
              <w:t>New policy</w:t>
            </w:r>
          </w:p>
        </w:tc>
        <w:tc>
          <w:tcPr>
            <w:tcW w:w="1276" w:type="dxa"/>
          </w:tcPr>
          <w:p w14:paraId="6D658049" w14:textId="77777777" w:rsidR="008C14FF" w:rsidRDefault="008C14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69F75BF7" w14:textId="77777777" w:rsidR="008C14FF" w:rsidRDefault="008C14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C30CF28" w14:textId="77777777" w:rsidR="00000000" w:rsidRDefault="00C64A2F"/>
    <w:sectPr w:rsidR="00000000">
      <w:pgSz w:w="11910" w:h="16840"/>
      <w:pgMar w:top="1580" w:right="1020" w:bottom="960" w:left="126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67692" w14:textId="77777777" w:rsidR="00000000" w:rsidRDefault="00C64A2F">
      <w:r>
        <w:separator/>
      </w:r>
    </w:p>
  </w:endnote>
  <w:endnote w:type="continuationSeparator" w:id="0">
    <w:p w14:paraId="3068BD29" w14:textId="77777777" w:rsidR="00000000" w:rsidRDefault="00C6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ED9A" w14:textId="77777777" w:rsidR="00C64A2F" w:rsidRDefault="00C64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59D55" w14:textId="77777777" w:rsidR="00C64A2F" w:rsidRDefault="00C64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2EF1E" w14:textId="77777777" w:rsidR="00C64A2F" w:rsidRDefault="00C64A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54252" w14:textId="77777777" w:rsidR="008C14FF" w:rsidRDefault="00C64A2F">
    <w:pPr>
      <w:pStyle w:val="BodyText"/>
      <w:spacing w:line="14" w:lineRule="auto"/>
      <w:rPr>
        <w:sz w:val="20"/>
      </w:rPr>
    </w:pPr>
    <w:r>
      <w:pict w14:anchorId="5371FED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35pt;margin-top:792.15pt;width:10.7pt;height:15.45pt;z-index:-251658752;mso-position-horizontal-relative:page;mso-position-vertical-relative:page" filled="f" stroked="f">
          <v:textbox inset="0,0,0,0">
            <w:txbxContent>
              <w:p w14:paraId="574B1463" w14:textId="77777777" w:rsidR="008C14FF" w:rsidRDefault="00C64A2F">
                <w:pPr>
                  <w:spacing w:before="1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075ED" w14:textId="77777777" w:rsidR="00000000" w:rsidRDefault="00C64A2F">
      <w:r>
        <w:separator/>
      </w:r>
    </w:p>
  </w:footnote>
  <w:footnote w:type="continuationSeparator" w:id="0">
    <w:p w14:paraId="22B8E858" w14:textId="77777777" w:rsidR="00000000" w:rsidRDefault="00C6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27B4B" w14:textId="77777777" w:rsidR="00C64A2F" w:rsidRDefault="00C64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217106"/>
      <w:docPartObj>
        <w:docPartGallery w:val="Watermarks"/>
        <w:docPartUnique/>
      </w:docPartObj>
    </w:sdtPr>
    <w:sdtContent>
      <w:p w14:paraId="11037235" w14:textId="7CBCBCF1" w:rsidR="00C64A2F" w:rsidRDefault="00C64A2F">
        <w:pPr>
          <w:pStyle w:val="Header"/>
        </w:pPr>
        <w:r>
          <w:rPr>
            <w:noProof/>
          </w:rPr>
          <w:pict w14:anchorId="1B6583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7" type="#_x0000_t136" style="position:absolute;margin-left:0;margin-top:0;width:468pt;height:280.8pt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5605" w14:textId="77777777" w:rsidR="00C64A2F" w:rsidRDefault="00C64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66A63"/>
    <w:multiLevelType w:val="hybridMultilevel"/>
    <w:tmpl w:val="5E68316C"/>
    <w:lvl w:ilvl="0" w:tplc="52C254D4">
      <w:start w:val="1"/>
      <w:numFmt w:val="decimal"/>
      <w:lvlText w:val="%1."/>
      <w:lvlJc w:val="left"/>
      <w:pPr>
        <w:ind w:left="125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AU" w:bidi="en-AU"/>
      </w:rPr>
    </w:lvl>
    <w:lvl w:ilvl="1" w:tplc="9B44F25A">
      <w:numFmt w:val="bullet"/>
      <w:lvlText w:val="•"/>
      <w:lvlJc w:val="left"/>
      <w:pPr>
        <w:ind w:left="2096" w:hanging="360"/>
      </w:pPr>
      <w:rPr>
        <w:rFonts w:hint="default"/>
        <w:lang w:val="en-AU" w:eastAsia="en-AU" w:bidi="en-AU"/>
      </w:rPr>
    </w:lvl>
    <w:lvl w:ilvl="2" w:tplc="057CD910">
      <w:numFmt w:val="bullet"/>
      <w:lvlText w:val="•"/>
      <w:lvlJc w:val="left"/>
      <w:pPr>
        <w:ind w:left="2933" w:hanging="360"/>
      </w:pPr>
      <w:rPr>
        <w:rFonts w:hint="default"/>
        <w:lang w:val="en-AU" w:eastAsia="en-AU" w:bidi="en-AU"/>
      </w:rPr>
    </w:lvl>
    <w:lvl w:ilvl="3" w:tplc="E65884BA">
      <w:numFmt w:val="bullet"/>
      <w:lvlText w:val="•"/>
      <w:lvlJc w:val="left"/>
      <w:pPr>
        <w:ind w:left="3769" w:hanging="360"/>
      </w:pPr>
      <w:rPr>
        <w:rFonts w:hint="default"/>
        <w:lang w:val="en-AU" w:eastAsia="en-AU" w:bidi="en-AU"/>
      </w:rPr>
    </w:lvl>
    <w:lvl w:ilvl="4" w:tplc="60FE6914">
      <w:numFmt w:val="bullet"/>
      <w:lvlText w:val="•"/>
      <w:lvlJc w:val="left"/>
      <w:pPr>
        <w:ind w:left="4606" w:hanging="360"/>
      </w:pPr>
      <w:rPr>
        <w:rFonts w:hint="default"/>
        <w:lang w:val="en-AU" w:eastAsia="en-AU" w:bidi="en-AU"/>
      </w:rPr>
    </w:lvl>
    <w:lvl w:ilvl="5" w:tplc="A06021B0">
      <w:numFmt w:val="bullet"/>
      <w:lvlText w:val="•"/>
      <w:lvlJc w:val="left"/>
      <w:pPr>
        <w:ind w:left="5443" w:hanging="360"/>
      </w:pPr>
      <w:rPr>
        <w:rFonts w:hint="default"/>
        <w:lang w:val="en-AU" w:eastAsia="en-AU" w:bidi="en-AU"/>
      </w:rPr>
    </w:lvl>
    <w:lvl w:ilvl="6" w:tplc="C2142F0E">
      <w:numFmt w:val="bullet"/>
      <w:lvlText w:val="•"/>
      <w:lvlJc w:val="left"/>
      <w:pPr>
        <w:ind w:left="6279" w:hanging="360"/>
      </w:pPr>
      <w:rPr>
        <w:rFonts w:hint="default"/>
        <w:lang w:val="en-AU" w:eastAsia="en-AU" w:bidi="en-AU"/>
      </w:rPr>
    </w:lvl>
    <w:lvl w:ilvl="7" w:tplc="771A97BE">
      <w:numFmt w:val="bullet"/>
      <w:lvlText w:val="•"/>
      <w:lvlJc w:val="left"/>
      <w:pPr>
        <w:ind w:left="7116" w:hanging="360"/>
      </w:pPr>
      <w:rPr>
        <w:rFonts w:hint="default"/>
        <w:lang w:val="en-AU" w:eastAsia="en-AU" w:bidi="en-AU"/>
      </w:rPr>
    </w:lvl>
    <w:lvl w:ilvl="8" w:tplc="E2DCAC94">
      <w:numFmt w:val="bullet"/>
      <w:lvlText w:val="•"/>
      <w:lvlJc w:val="left"/>
      <w:pPr>
        <w:ind w:left="7953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4FF"/>
    <w:rsid w:val="008C14FF"/>
    <w:rsid w:val="00C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4E5F"/>
  <w15:docId w15:val="{8F0F0429-A70B-42E7-A107-03880947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93"/>
      <w:ind w:left="1259" w:hanging="3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3"/>
      <w:ind w:left="1259" w:hanging="35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64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A2F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64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A2F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Davies</dc:creator>
  <cp:lastModifiedBy>Stephanie Hatton</cp:lastModifiedBy>
  <cp:revision>2</cp:revision>
  <dcterms:created xsi:type="dcterms:W3CDTF">2021-04-28T00:14:00Z</dcterms:created>
  <dcterms:modified xsi:type="dcterms:W3CDTF">2021-04-28T00:27:00Z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2021-04-28T00:00:00Z</vt:filetime>
  </property>
</Properties>
</file>