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89BB" w14:textId="77777777" w:rsidR="00F57956" w:rsidRPr="00F57956" w:rsidRDefault="00F57956" w:rsidP="006C6CBA">
      <w:pPr>
        <w:pStyle w:val="NoSpacing"/>
        <w:rPr>
          <w:rFonts w:cstheme="minorHAnsi"/>
          <w:b/>
          <w:bCs/>
          <w:sz w:val="28"/>
          <w:szCs w:val="28"/>
        </w:rPr>
      </w:pPr>
    </w:p>
    <w:p w14:paraId="1DCAFD7F" w14:textId="56695792" w:rsidR="006C6CBA" w:rsidRPr="00F57956" w:rsidRDefault="00CE27D0" w:rsidP="00F57956">
      <w:pPr>
        <w:pStyle w:val="Heading1"/>
        <w:rPr>
          <w:rFonts w:ascii="Poppins" w:hAnsi="Poppins"/>
          <w:b/>
          <w:bCs/>
          <w:color w:val="000000" w:themeColor="text1"/>
          <w:sz w:val="44"/>
          <w:szCs w:val="44"/>
        </w:rPr>
      </w:pPr>
      <w:r>
        <w:rPr>
          <w:rFonts w:ascii="Poppins" w:hAnsi="Poppins"/>
          <w:b/>
          <w:bCs/>
          <w:color w:val="000000" w:themeColor="text1"/>
          <w:sz w:val="44"/>
          <w:szCs w:val="44"/>
        </w:rPr>
        <w:t>Rates harmonisation f</w:t>
      </w:r>
      <w:r w:rsidR="0054490D" w:rsidRPr="00F57956">
        <w:rPr>
          <w:rFonts w:ascii="Poppins" w:hAnsi="Poppins"/>
          <w:b/>
          <w:bCs/>
          <w:color w:val="000000" w:themeColor="text1"/>
          <w:sz w:val="44"/>
          <w:szCs w:val="44"/>
        </w:rPr>
        <w:t>act</w:t>
      </w:r>
      <w:r w:rsidR="00D030BC" w:rsidRPr="00F57956">
        <w:rPr>
          <w:rFonts w:ascii="Poppins" w:hAnsi="Poppins"/>
          <w:b/>
          <w:bCs/>
          <w:color w:val="000000" w:themeColor="text1"/>
          <w:sz w:val="44"/>
          <w:szCs w:val="44"/>
        </w:rPr>
        <w:t xml:space="preserve"> </w:t>
      </w:r>
      <w:r w:rsidR="0054490D" w:rsidRPr="00F57956">
        <w:rPr>
          <w:rFonts w:ascii="Poppins" w:hAnsi="Poppins"/>
          <w:b/>
          <w:bCs/>
          <w:color w:val="000000" w:themeColor="text1"/>
          <w:sz w:val="44"/>
          <w:szCs w:val="44"/>
        </w:rPr>
        <w:t>she</w:t>
      </w:r>
      <w:r w:rsidR="006C6CBA" w:rsidRPr="00F57956">
        <w:rPr>
          <w:rFonts w:ascii="Poppins" w:hAnsi="Poppins"/>
          <w:b/>
          <w:bCs/>
          <w:color w:val="000000" w:themeColor="text1"/>
          <w:sz w:val="44"/>
          <w:szCs w:val="44"/>
        </w:rPr>
        <w:t>et</w:t>
      </w:r>
      <w:r w:rsidR="00D030BC" w:rsidRPr="00F57956">
        <w:rPr>
          <w:rFonts w:ascii="Poppins" w:hAnsi="Poppins"/>
          <w:b/>
          <w:bCs/>
          <w:color w:val="000000" w:themeColor="text1"/>
          <w:sz w:val="44"/>
          <w:szCs w:val="44"/>
        </w:rPr>
        <w:t xml:space="preserve"> </w:t>
      </w:r>
    </w:p>
    <w:p w14:paraId="3819EBE0" w14:textId="77CAB55D" w:rsidR="00EA2CC0" w:rsidRPr="003D2547" w:rsidRDefault="00EA2CC0" w:rsidP="003D2547">
      <w:pPr>
        <w:pStyle w:val="Heading2"/>
        <w:rPr>
          <w:szCs w:val="32"/>
        </w:rPr>
      </w:pPr>
      <w:r w:rsidRPr="00F57956">
        <w:rPr>
          <w:szCs w:val="32"/>
        </w:rPr>
        <w:t>What are rates?</w:t>
      </w:r>
    </w:p>
    <w:p w14:paraId="557ABADA" w14:textId="77777777" w:rsidR="00EA2CC0" w:rsidRPr="00F57956" w:rsidRDefault="00EA2CC0" w:rsidP="00EA2CC0">
      <w:pPr>
        <w:pStyle w:val="NoSpacing"/>
        <w:rPr>
          <w:rFonts w:cstheme="minorHAnsi"/>
        </w:rPr>
      </w:pPr>
      <w:r w:rsidRPr="00F57956">
        <w:rPr>
          <w:rFonts w:cstheme="minorHAnsi"/>
        </w:rPr>
        <w:t>Rates are Council’s main source of income. Rates income is used to maintain and improve services, and for the provision of facilities, programs, activities and capital works for the community. Rates are used to provide essential infrastructure and services.</w:t>
      </w:r>
    </w:p>
    <w:p w14:paraId="3E2E2179" w14:textId="02DF79E2" w:rsidR="00EA2CC0" w:rsidRPr="00F57956" w:rsidRDefault="00EA2CC0" w:rsidP="00EA2CC0">
      <w:pPr>
        <w:pStyle w:val="NoSpacing"/>
        <w:rPr>
          <w:rFonts w:cstheme="minorHAnsi"/>
        </w:rPr>
      </w:pPr>
      <w:r w:rsidRPr="00F57956">
        <w:rPr>
          <w:rFonts w:cstheme="minorHAnsi"/>
        </w:rPr>
        <w:t xml:space="preserve">Rates are calculated from property valuations supplied by the </w:t>
      </w:r>
      <w:hyperlink r:id="rId11" w:history="1">
        <w:r w:rsidRPr="006242DB">
          <w:rPr>
            <w:rStyle w:val="Hyperlink"/>
            <w:rFonts w:cstheme="minorHAnsi"/>
          </w:rPr>
          <w:t>NSW Valuer General</w:t>
        </w:r>
      </w:hyperlink>
      <w:r w:rsidRPr="00F57956">
        <w:rPr>
          <w:rFonts w:cstheme="minorHAnsi"/>
        </w:rPr>
        <w:t>. The calculation of rates is tied to the value of your property.</w:t>
      </w:r>
    </w:p>
    <w:p w14:paraId="0C830FF6" w14:textId="77777777" w:rsidR="00EA2CC0" w:rsidRPr="00F57956" w:rsidRDefault="00EA2CC0" w:rsidP="00F57956">
      <w:pPr>
        <w:pStyle w:val="Heading2"/>
        <w:rPr>
          <w:szCs w:val="32"/>
        </w:rPr>
      </w:pPr>
      <w:r w:rsidRPr="00F57956">
        <w:rPr>
          <w:szCs w:val="32"/>
        </w:rPr>
        <w:t xml:space="preserve">Where do my rates go? </w:t>
      </w:r>
    </w:p>
    <w:p w14:paraId="1C1297F5" w14:textId="77777777" w:rsidR="00EA2CC0" w:rsidRPr="00F57956" w:rsidRDefault="00EA2CC0" w:rsidP="00874ED7">
      <w:pPr>
        <w:pStyle w:val="NoSpacing"/>
        <w:numPr>
          <w:ilvl w:val="0"/>
          <w:numId w:val="15"/>
        </w:numPr>
        <w:rPr>
          <w:rFonts w:cstheme="minorHAnsi"/>
        </w:rPr>
      </w:pPr>
      <w:r w:rsidRPr="00F57956">
        <w:rPr>
          <w:rFonts w:cstheme="minorHAnsi"/>
        </w:rPr>
        <w:t xml:space="preserve">Infrastructure and property services: local roads, parking, bridges, footpaths, drainage, waste collection and management </w:t>
      </w:r>
    </w:p>
    <w:p w14:paraId="3E9D5476" w14:textId="77777777" w:rsidR="00EA2CC0" w:rsidRPr="00F57956" w:rsidRDefault="00EA2CC0" w:rsidP="00874ED7">
      <w:pPr>
        <w:pStyle w:val="NoSpacing"/>
        <w:numPr>
          <w:ilvl w:val="0"/>
          <w:numId w:val="15"/>
        </w:numPr>
        <w:rPr>
          <w:rFonts w:cstheme="minorHAnsi"/>
        </w:rPr>
      </w:pPr>
      <w:r w:rsidRPr="00F57956">
        <w:rPr>
          <w:rFonts w:cstheme="minorHAnsi"/>
        </w:rPr>
        <w:t xml:space="preserve">Recreation facilities: parks, sports fields and stadiums, swimming pools, sport centres, halls  </w:t>
      </w:r>
    </w:p>
    <w:p w14:paraId="777C2A22" w14:textId="77777777" w:rsidR="00EA2CC0" w:rsidRPr="00F57956" w:rsidRDefault="00EA2CC0" w:rsidP="00874ED7">
      <w:pPr>
        <w:pStyle w:val="NoSpacing"/>
        <w:numPr>
          <w:ilvl w:val="0"/>
          <w:numId w:val="15"/>
        </w:numPr>
        <w:rPr>
          <w:rFonts w:cstheme="minorHAnsi"/>
        </w:rPr>
      </w:pPr>
      <w:r w:rsidRPr="00F57956">
        <w:rPr>
          <w:rFonts w:cstheme="minorHAnsi"/>
        </w:rPr>
        <w:t xml:space="preserve">Health services: water and food inspection, public toilets, noise control and animal control </w:t>
      </w:r>
    </w:p>
    <w:p w14:paraId="70D25632" w14:textId="13F8C25B" w:rsidR="00EA2CC0" w:rsidRPr="00F57956" w:rsidRDefault="00EA2CC0" w:rsidP="00874ED7">
      <w:pPr>
        <w:pStyle w:val="NoSpacing"/>
        <w:numPr>
          <w:ilvl w:val="0"/>
          <w:numId w:val="15"/>
        </w:numPr>
        <w:rPr>
          <w:rFonts w:cstheme="minorHAnsi"/>
        </w:rPr>
      </w:pPr>
      <w:r w:rsidRPr="00F57956">
        <w:rPr>
          <w:rFonts w:cstheme="minorHAnsi"/>
        </w:rPr>
        <w:t xml:space="preserve">Community services: children’s services, aged care, community care, recreation programs and welfare services </w:t>
      </w:r>
    </w:p>
    <w:p w14:paraId="0043E92F" w14:textId="77777777" w:rsidR="00EA2CC0" w:rsidRPr="00F57956" w:rsidRDefault="00EA2CC0" w:rsidP="00874ED7">
      <w:pPr>
        <w:pStyle w:val="NoSpacing"/>
        <w:numPr>
          <w:ilvl w:val="0"/>
          <w:numId w:val="15"/>
        </w:numPr>
        <w:rPr>
          <w:rFonts w:cstheme="minorHAnsi"/>
        </w:rPr>
      </w:pPr>
      <w:r w:rsidRPr="00F57956">
        <w:rPr>
          <w:rFonts w:cstheme="minorHAnsi"/>
        </w:rPr>
        <w:t xml:space="preserve">Building services: inspections, licensing, certification and enforcement </w:t>
      </w:r>
    </w:p>
    <w:p w14:paraId="0B8EAFCB" w14:textId="2342AFF9" w:rsidR="00EA2CC0" w:rsidRPr="00F57956" w:rsidRDefault="00EA2CC0" w:rsidP="00874ED7">
      <w:pPr>
        <w:pStyle w:val="NoSpacing"/>
        <w:numPr>
          <w:ilvl w:val="0"/>
          <w:numId w:val="15"/>
        </w:numPr>
        <w:rPr>
          <w:rFonts w:cstheme="minorHAnsi"/>
        </w:rPr>
      </w:pPr>
      <w:r w:rsidRPr="00F57956">
        <w:rPr>
          <w:rFonts w:cstheme="minorHAnsi"/>
        </w:rPr>
        <w:t>Planning and development</w:t>
      </w:r>
      <w:r w:rsidR="004933F2">
        <w:rPr>
          <w:rFonts w:cstheme="minorHAnsi"/>
        </w:rPr>
        <w:t>:</w:t>
      </w:r>
      <w:r w:rsidRPr="00F57956">
        <w:rPr>
          <w:rFonts w:cstheme="minorHAnsi"/>
        </w:rPr>
        <w:t xml:space="preserve"> approval, heritage conservation </w:t>
      </w:r>
    </w:p>
    <w:p w14:paraId="5AA5711D" w14:textId="77777777" w:rsidR="00EA2CC0" w:rsidRPr="00F57956" w:rsidRDefault="00EA2CC0" w:rsidP="00874ED7">
      <w:pPr>
        <w:pStyle w:val="NoSpacing"/>
        <w:numPr>
          <w:ilvl w:val="0"/>
          <w:numId w:val="15"/>
        </w:numPr>
        <w:rPr>
          <w:rFonts w:cstheme="minorHAnsi"/>
        </w:rPr>
      </w:pPr>
      <w:r w:rsidRPr="00F57956">
        <w:rPr>
          <w:rFonts w:cstheme="minorHAnsi"/>
        </w:rPr>
        <w:t>Cultural facilities: libraries, art galleries, public art, events</w:t>
      </w:r>
    </w:p>
    <w:p w14:paraId="3E50F501" w14:textId="2DB0EEED" w:rsidR="001A0A72" w:rsidRPr="003D2547" w:rsidRDefault="00DD4DCC" w:rsidP="003D2547">
      <w:pPr>
        <w:pStyle w:val="Heading2"/>
        <w:rPr>
          <w:szCs w:val="32"/>
        </w:rPr>
      </w:pPr>
      <w:r w:rsidRPr="00F57956">
        <w:rPr>
          <w:szCs w:val="32"/>
        </w:rPr>
        <w:t>What is r</w:t>
      </w:r>
      <w:r w:rsidR="009E67D8" w:rsidRPr="00F57956">
        <w:rPr>
          <w:szCs w:val="32"/>
        </w:rPr>
        <w:t>ates harmonisation</w:t>
      </w:r>
      <w:r w:rsidRPr="00F57956">
        <w:rPr>
          <w:szCs w:val="32"/>
        </w:rPr>
        <w:t>?</w:t>
      </w:r>
    </w:p>
    <w:p w14:paraId="2F0FEB52" w14:textId="11AFB9EC" w:rsidR="003F4A97" w:rsidRPr="00F57956" w:rsidRDefault="007A0993" w:rsidP="00FA7482">
      <w:pPr>
        <w:pStyle w:val="NoSpacing"/>
        <w:rPr>
          <w:rFonts w:cstheme="minorHAnsi"/>
        </w:rPr>
      </w:pPr>
      <w:r w:rsidRPr="00F57956">
        <w:rPr>
          <w:rFonts w:cstheme="minorHAnsi"/>
        </w:rPr>
        <w:t>At present, Inner West Council has three rates struct</w:t>
      </w:r>
      <w:r w:rsidR="003F4A97" w:rsidRPr="00F57956">
        <w:rPr>
          <w:rFonts w:cstheme="minorHAnsi"/>
        </w:rPr>
        <w:t>ures, a legacy from pre-amalgamation</w:t>
      </w:r>
      <w:r w:rsidR="006E62B3" w:rsidRPr="00F57956">
        <w:rPr>
          <w:rFonts w:cstheme="minorHAnsi"/>
        </w:rPr>
        <w:t xml:space="preserve">: the </w:t>
      </w:r>
      <w:r w:rsidR="009224AE" w:rsidRPr="00F57956">
        <w:rPr>
          <w:rFonts w:cstheme="minorHAnsi"/>
        </w:rPr>
        <w:t>former</w:t>
      </w:r>
      <w:r w:rsidR="006E62B3" w:rsidRPr="00F57956">
        <w:rPr>
          <w:rFonts w:cstheme="minorHAnsi"/>
        </w:rPr>
        <w:t xml:space="preserve"> Ashfield, Leichhardt and Marrickville </w:t>
      </w:r>
      <w:r w:rsidR="009224AE" w:rsidRPr="00F57956">
        <w:rPr>
          <w:rFonts w:cstheme="minorHAnsi"/>
        </w:rPr>
        <w:t xml:space="preserve">Council </w:t>
      </w:r>
      <w:r w:rsidR="006E62B3" w:rsidRPr="00F57956">
        <w:rPr>
          <w:rFonts w:cstheme="minorHAnsi"/>
        </w:rPr>
        <w:t>rates structures.</w:t>
      </w:r>
    </w:p>
    <w:p w14:paraId="29D4BC28" w14:textId="497ED337" w:rsidR="00FA7482" w:rsidRPr="00F57956" w:rsidRDefault="00FA7482" w:rsidP="00FA7482">
      <w:pPr>
        <w:pStyle w:val="NoSpacing"/>
        <w:rPr>
          <w:rFonts w:cstheme="minorHAnsi"/>
        </w:rPr>
      </w:pPr>
      <w:r w:rsidRPr="00F57956">
        <w:rPr>
          <w:rFonts w:cstheme="minorHAnsi"/>
        </w:rPr>
        <w:t xml:space="preserve">Rate harmonisation </w:t>
      </w:r>
      <w:r w:rsidR="0002714F" w:rsidRPr="00F57956">
        <w:rPr>
          <w:rFonts w:cstheme="minorHAnsi"/>
        </w:rPr>
        <w:t xml:space="preserve">means </w:t>
      </w:r>
      <w:r w:rsidR="00F40630" w:rsidRPr="00F57956">
        <w:rPr>
          <w:rFonts w:cstheme="minorHAnsi"/>
        </w:rPr>
        <w:t xml:space="preserve">there will be </w:t>
      </w:r>
      <w:r w:rsidR="0002714F" w:rsidRPr="00F57956">
        <w:rPr>
          <w:rFonts w:cstheme="minorHAnsi"/>
        </w:rPr>
        <w:t xml:space="preserve">a </w:t>
      </w:r>
      <w:r w:rsidR="00F40630" w:rsidRPr="00F57956">
        <w:rPr>
          <w:rFonts w:cstheme="minorHAnsi"/>
        </w:rPr>
        <w:t>new rating structure for the whole Inner West</w:t>
      </w:r>
      <w:r w:rsidR="006135FE" w:rsidRPr="00F57956">
        <w:rPr>
          <w:rFonts w:cstheme="minorHAnsi"/>
        </w:rPr>
        <w:t>.</w:t>
      </w:r>
      <w:r w:rsidR="0002714F" w:rsidRPr="00F57956">
        <w:rPr>
          <w:rFonts w:cstheme="minorHAnsi"/>
        </w:rPr>
        <w:t xml:space="preserve"> </w:t>
      </w:r>
      <w:r w:rsidR="006135FE" w:rsidRPr="00F57956">
        <w:rPr>
          <w:rFonts w:cstheme="minorHAnsi"/>
        </w:rPr>
        <w:t>Rates will be</w:t>
      </w:r>
      <w:r w:rsidR="003F4A97" w:rsidRPr="00F57956">
        <w:rPr>
          <w:rFonts w:cstheme="minorHAnsi"/>
        </w:rPr>
        <w:t xml:space="preserve"> </w:t>
      </w:r>
      <w:r w:rsidRPr="00F57956">
        <w:rPr>
          <w:rFonts w:cstheme="minorHAnsi"/>
        </w:rPr>
        <w:t xml:space="preserve">paid </w:t>
      </w:r>
      <w:r w:rsidR="007E429C" w:rsidRPr="00F57956">
        <w:rPr>
          <w:rFonts w:cstheme="minorHAnsi"/>
        </w:rPr>
        <w:t xml:space="preserve">more equitably </w:t>
      </w:r>
      <w:r w:rsidR="006E62B3" w:rsidRPr="00F57956">
        <w:rPr>
          <w:rFonts w:cstheme="minorHAnsi"/>
        </w:rPr>
        <w:t xml:space="preserve">by </w:t>
      </w:r>
      <w:r w:rsidRPr="00F57956">
        <w:rPr>
          <w:rFonts w:cstheme="minorHAnsi"/>
        </w:rPr>
        <w:t>all ratepayers in the Inner West</w:t>
      </w:r>
      <w:r w:rsidR="00C371AE" w:rsidRPr="00F57956">
        <w:rPr>
          <w:rFonts w:cstheme="minorHAnsi"/>
        </w:rPr>
        <w:t xml:space="preserve"> in proportion to land value</w:t>
      </w:r>
      <w:r w:rsidRPr="00F57956">
        <w:rPr>
          <w:rFonts w:cstheme="minorHAnsi"/>
        </w:rPr>
        <w:t>.</w:t>
      </w:r>
    </w:p>
    <w:p w14:paraId="5B059A4D" w14:textId="726BD400" w:rsidR="007A0993" w:rsidRPr="003D2547" w:rsidRDefault="007A0993" w:rsidP="003D2547">
      <w:pPr>
        <w:pStyle w:val="Heading2"/>
      </w:pPr>
      <w:r w:rsidRPr="00F57956">
        <w:t>Why is Inner West harmonising rates?</w:t>
      </w:r>
    </w:p>
    <w:p w14:paraId="29342754" w14:textId="34483BAE" w:rsidR="007A0993" w:rsidRPr="00F57956" w:rsidRDefault="007A0993" w:rsidP="007A0993">
      <w:pPr>
        <w:pStyle w:val="NoSpacing"/>
        <w:rPr>
          <w:rFonts w:cstheme="minorHAnsi"/>
        </w:rPr>
      </w:pPr>
      <w:r w:rsidRPr="00F57956">
        <w:rPr>
          <w:rFonts w:cstheme="minorHAnsi"/>
        </w:rPr>
        <w:t>Under the NSW Government’s Local Government Act, Inner West Council is required by law to harmonise rates across the Inner West from</w:t>
      </w:r>
      <w:r w:rsidR="00256A4C" w:rsidRPr="00F57956">
        <w:rPr>
          <w:rFonts w:cstheme="minorHAnsi"/>
        </w:rPr>
        <w:t xml:space="preserve"> 1</w:t>
      </w:r>
      <w:r w:rsidRPr="00F57956">
        <w:rPr>
          <w:rFonts w:cstheme="minorHAnsi"/>
        </w:rPr>
        <w:t xml:space="preserve"> July 2021.</w:t>
      </w:r>
    </w:p>
    <w:p w14:paraId="2B294117" w14:textId="61174211" w:rsidR="007A0993" w:rsidRPr="00F57956" w:rsidRDefault="007A0993" w:rsidP="007A0993">
      <w:pPr>
        <w:pStyle w:val="NoSpacing"/>
        <w:rPr>
          <w:rFonts w:cstheme="minorHAnsi"/>
        </w:rPr>
      </w:pPr>
      <w:r w:rsidRPr="00F57956">
        <w:rPr>
          <w:rFonts w:cstheme="minorHAnsi"/>
        </w:rPr>
        <w:t xml:space="preserve">All </w:t>
      </w:r>
      <w:r w:rsidR="008D466E" w:rsidRPr="00F57956">
        <w:rPr>
          <w:rFonts w:cstheme="minorHAnsi"/>
        </w:rPr>
        <w:t>amalgamated</w:t>
      </w:r>
      <w:r w:rsidRPr="00F57956">
        <w:rPr>
          <w:rFonts w:cstheme="minorHAnsi"/>
        </w:rPr>
        <w:t xml:space="preserve"> Councils in NSW must comply.</w:t>
      </w:r>
    </w:p>
    <w:p w14:paraId="3E339BCE" w14:textId="353292E5" w:rsidR="00255609" w:rsidRPr="00F57956" w:rsidRDefault="00255609" w:rsidP="007A0993">
      <w:pPr>
        <w:pStyle w:val="NoSpacing"/>
        <w:rPr>
          <w:rFonts w:cstheme="minorHAnsi"/>
        </w:rPr>
      </w:pPr>
      <w:r w:rsidRPr="00F57956">
        <w:rPr>
          <w:rFonts w:cstheme="minorHAnsi"/>
        </w:rPr>
        <w:lastRenderedPageBreak/>
        <w:t xml:space="preserve">Council has approached the NSW </w:t>
      </w:r>
      <w:r w:rsidR="00EF19D1" w:rsidRPr="00F57956">
        <w:rPr>
          <w:rFonts w:cstheme="minorHAnsi"/>
        </w:rPr>
        <w:t>Minister for Local Government</w:t>
      </w:r>
      <w:r w:rsidRPr="00F57956">
        <w:rPr>
          <w:rFonts w:cstheme="minorHAnsi"/>
        </w:rPr>
        <w:t xml:space="preserve"> asking for a gradual phasing in of rate harmonisation over several </w:t>
      </w:r>
      <w:r w:rsidR="007247F4" w:rsidRPr="00F57956">
        <w:rPr>
          <w:rFonts w:cstheme="minorHAnsi"/>
        </w:rPr>
        <w:t>years</w:t>
      </w:r>
      <w:r w:rsidR="00EF19D1" w:rsidRPr="00F57956">
        <w:rPr>
          <w:rFonts w:cstheme="minorHAnsi"/>
        </w:rPr>
        <w:t>.</w:t>
      </w:r>
    </w:p>
    <w:p w14:paraId="523DD160" w14:textId="6BF007E5" w:rsidR="00C4375C" w:rsidRPr="003D2547" w:rsidRDefault="00C4375C" w:rsidP="003D2547">
      <w:pPr>
        <w:pStyle w:val="Heading2"/>
      </w:pPr>
      <w:r w:rsidRPr="00F57956">
        <w:t>How will Council harmonise rates?</w:t>
      </w:r>
    </w:p>
    <w:p w14:paraId="28963B06" w14:textId="77777777" w:rsidR="00C4375C" w:rsidRPr="00F57956" w:rsidRDefault="00C4375C" w:rsidP="00C4375C">
      <w:pPr>
        <w:pStyle w:val="NoSpacing"/>
        <w:rPr>
          <w:rFonts w:cstheme="minorHAnsi"/>
        </w:rPr>
      </w:pPr>
      <w:r w:rsidRPr="00F57956">
        <w:rPr>
          <w:rFonts w:cstheme="minorHAnsi"/>
        </w:rPr>
        <w:t>Council is introducing a new minimum rate, so all property owners are charged equally for using Council services.</w:t>
      </w:r>
    </w:p>
    <w:p w14:paraId="4499F54D" w14:textId="77777777" w:rsidR="00C4375C" w:rsidRPr="00F57956" w:rsidRDefault="00C4375C" w:rsidP="00C4375C">
      <w:pPr>
        <w:pStyle w:val="NoSpacing"/>
        <w:rPr>
          <w:rFonts w:cstheme="minorHAnsi"/>
        </w:rPr>
      </w:pPr>
      <w:r w:rsidRPr="00F57956">
        <w:rPr>
          <w:rFonts w:cstheme="minorHAnsi"/>
        </w:rPr>
        <w:t>For example, rates cost more for some households in some parts of the local government area. Some businesses are charged according to different rates structure that apply across the local government area.</w:t>
      </w:r>
    </w:p>
    <w:p w14:paraId="63375456" w14:textId="77777777" w:rsidR="00C4375C" w:rsidRPr="00F57956" w:rsidRDefault="00C4375C" w:rsidP="00C4375C">
      <w:pPr>
        <w:pStyle w:val="NoSpacing"/>
        <w:rPr>
          <w:rFonts w:cstheme="minorHAnsi"/>
        </w:rPr>
      </w:pPr>
      <w:r w:rsidRPr="00F57956">
        <w:rPr>
          <w:rFonts w:cstheme="minorHAnsi"/>
        </w:rPr>
        <w:t>Another example is that apartment dwellers tend to pay less to access the same Council services as homeowners.</w:t>
      </w:r>
    </w:p>
    <w:p w14:paraId="7A3A49D4" w14:textId="77777777" w:rsidR="00B42F60" w:rsidRPr="00F57956" w:rsidRDefault="00B42F60" w:rsidP="00F57956">
      <w:pPr>
        <w:pStyle w:val="Heading2"/>
      </w:pPr>
      <w:r w:rsidRPr="00F57956">
        <w:t>How will I be affected?</w:t>
      </w:r>
    </w:p>
    <w:p w14:paraId="176FCA63" w14:textId="0ACA54BE" w:rsidR="00B42F60" w:rsidRPr="00F57956" w:rsidRDefault="00B42F60" w:rsidP="00B42F60">
      <w:pPr>
        <w:pStyle w:val="NoSpacing"/>
        <w:rPr>
          <w:rFonts w:cstheme="minorHAnsi"/>
        </w:rPr>
      </w:pPr>
      <w:r w:rsidRPr="00F57956">
        <w:rPr>
          <w:rFonts w:cstheme="minorHAnsi"/>
        </w:rPr>
        <w:t>Some property owners’ rates will go down. Others will go up. You can find out how your property will be affected by using the</w:t>
      </w:r>
      <w:r w:rsidR="00874ED7">
        <w:rPr>
          <w:rFonts w:cstheme="minorHAnsi"/>
        </w:rPr>
        <w:t xml:space="preserve"> </w:t>
      </w:r>
      <w:hyperlink r:id="rId12" w:history="1">
        <w:r w:rsidR="00874ED7" w:rsidRPr="00874ED7">
          <w:rPr>
            <w:rStyle w:val="Hyperlink"/>
            <w:rFonts w:cstheme="minorHAnsi"/>
          </w:rPr>
          <w:t>rates calculator</w:t>
        </w:r>
      </w:hyperlink>
      <w:r w:rsidRPr="00F57956">
        <w:rPr>
          <w:rFonts w:cstheme="minorHAnsi"/>
        </w:rPr>
        <w:t>.</w:t>
      </w:r>
    </w:p>
    <w:p w14:paraId="2E1D0E14" w14:textId="77777777" w:rsidR="00B42F60" w:rsidRPr="00F57956" w:rsidRDefault="00B42F60" w:rsidP="00F57956">
      <w:pPr>
        <w:pStyle w:val="Heading2"/>
      </w:pPr>
      <w:r w:rsidRPr="00F57956">
        <w:t>What options are available if the proposed change causes me financial hardship?</w:t>
      </w:r>
    </w:p>
    <w:p w14:paraId="59C82CEF" w14:textId="77777777" w:rsidR="00E00100" w:rsidRDefault="00B42F60" w:rsidP="00B42F60">
      <w:pPr>
        <w:pStyle w:val="NoSpacing"/>
        <w:rPr>
          <w:rFonts w:cstheme="minorHAnsi"/>
        </w:rPr>
      </w:pPr>
      <w:r w:rsidRPr="00F57956">
        <w:rPr>
          <w:rFonts w:cstheme="minorHAnsi"/>
        </w:rPr>
        <w:t xml:space="preserve">Ratepayers experiencing financial hardship can apply to defer payment of rates. </w:t>
      </w:r>
    </w:p>
    <w:p w14:paraId="63AD564C" w14:textId="688AB448" w:rsidR="00B42F60" w:rsidRPr="00F57956" w:rsidRDefault="00B42F60" w:rsidP="00B42F60">
      <w:pPr>
        <w:pStyle w:val="NoSpacing"/>
        <w:rPr>
          <w:rFonts w:cstheme="minorHAnsi"/>
        </w:rPr>
      </w:pPr>
      <w:r w:rsidRPr="00F57956">
        <w:t>Pensioners may be eligible for a rebate</w:t>
      </w:r>
      <w:r w:rsidRPr="00F57956">
        <w:rPr>
          <w:rFonts w:cstheme="minorHAnsi"/>
        </w:rPr>
        <w:t>.</w:t>
      </w:r>
      <w:r w:rsidR="000701FD">
        <w:rPr>
          <w:rFonts w:cstheme="minorHAnsi"/>
        </w:rPr>
        <w:t xml:space="preserve"> Visit the </w:t>
      </w:r>
      <w:hyperlink r:id="rId13" w:history="1">
        <w:r w:rsidR="000701FD" w:rsidRPr="002F298D">
          <w:rPr>
            <w:rStyle w:val="Hyperlink"/>
            <w:rFonts w:cstheme="minorHAnsi"/>
          </w:rPr>
          <w:t xml:space="preserve">rates </w:t>
        </w:r>
        <w:r w:rsidR="002F298D" w:rsidRPr="002F298D">
          <w:rPr>
            <w:rStyle w:val="Hyperlink"/>
            <w:rFonts w:cstheme="minorHAnsi"/>
          </w:rPr>
          <w:t>page</w:t>
        </w:r>
      </w:hyperlink>
      <w:r w:rsidR="002F298D">
        <w:rPr>
          <w:rFonts w:cstheme="minorHAnsi"/>
        </w:rPr>
        <w:t xml:space="preserve"> </w:t>
      </w:r>
      <w:r w:rsidRPr="00F57956">
        <w:rPr>
          <w:rFonts w:cstheme="minorHAnsi"/>
        </w:rPr>
        <w:t xml:space="preserve">to find out more and </w:t>
      </w:r>
      <w:r w:rsidR="00626DF4">
        <w:rPr>
          <w:rFonts w:cstheme="minorHAnsi"/>
        </w:rPr>
        <w:t xml:space="preserve">to </w:t>
      </w:r>
      <w:r w:rsidRPr="00F57956">
        <w:rPr>
          <w:rFonts w:cstheme="minorHAnsi"/>
        </w:rPr>
        <w:t>apply.</w:t>
      </w:r>
    </w:p>
    <w:p w14:paraId="51CFBA3B" w14:textId="76DF348D" w:rsidR="001B6160" w:rsidRPr="003D2547" w:rsidRDefault="001B6160" w:rsidP="003D2547">
      <w:pPr>
        <w:pStyle w:val="Heading2"/>
      </w:pPr>
      <w:r w:rsidRPr="00F57956">
        <w:t>How does Council calculate rates?</w:t>
      </w:r>
    </w:p>
    <w:p w14:paraId="4FA089B9" w14:textId="3B61C96D" w:rsidR="001B6160" w:rsidRPr="00F57956" w:rsidRDefault="005B327A" w:rsidP="001B6160">
      <w:pPr>
        <w:pStyle w:val="NoSpacing"/>
        <w:rPr>
          <w:rFonts w:cstheme="minorHAnsi"/>
        </w:rPr>
      </w:pPr>
      <w:r w:rsidRPr="00F57956">
        <w:rPr>
          <w:rFonts w:cstheme="minorHAnsi"/>
        </w:rPr>
        <w:t xml:space="preserve">Rates are </w:t>
      </w:r>
      <w:r w:rsidR="002738D9" w:rsidRPr="00F57956">
        <w:rPr>
          <w:rFonts w:cstheme="minorHAnsi"/>
        </w:rPr>
        <w:t xml:space="preserve">calculated based on land value. Ratepayers will either pay a minimum rate or </w:t>
      </w:r>
      <w:r w:rsidR="001B6160" w:rsidRPr="00F57956">
        <w:rPr>
          <w:rFonts w:cstheme="minorHAnsi"/>
        </w:rPr>
        <w:t>ad</w:t>
      </w:r>
      <w:r w:rsidR="002A3A71" w:rsidRPr="00F57956">
        <w:rPr>
          <w:rFonts w:cstheme="minorHAnsi"/>
        </w:rPr>
        <w:t xml:space="preserve"> </w:t>
      </w:r>
      <w:r w:rsidR="001B6160" w:rsidRPr="00F57956">
        <w:rPr>
          <w:rFonts w:cstheme="minorHAnsi"/>
        </w:rPr>
        <w:t xml:space="preserve">valorem </w:t>
      </w:r>
      <w:r w:rsidR="009C3E75" w:rsidRPr="00F57956">
        <w:rPr>
          <w:rFonts w:cstheme="minorHAnsi"/>
        </w:rPr>
        <w:t>(rate per dollar of land value)</w:t>
      </w:r>
      <w:r w:rsidR="00E45D6B" w:rsidRPr="00F57956">
        <w:rPr>
          <w:rFonts w:cstheme="minorHAnsi"/>
        </w:rPr>
        <w:t>.</w:t>
      </w:r>
    </w:p>
    <w:p w14:paraId="2B94FB22" w14:textId="77777777" w:rsidR="00E0639C" w:rsidRPr="00F57956" w:rsidRDefault="00E0639C" w:rsidP="00F57956">
      <w:pPr>
        <w:pStyle w:val="Heading2"/>
      </w:pPr>
      <w:r w:rsidRPr="00F57956">
        <w:t xml:space="preserve">How is land valued? </w:t>
      </w:r>
    </w:p>
    <w:p w14:paraId="0FE4FEFE" w14:textId="1008CB97" w:rsidR="00E0639C" w:rsidRPr="00F57956" w:rsidRDefault="00E0639C" w:rsidP="00E0639C">
      <w:pPr>
        <w:pStyle w:val="NoSpacing"/>
        <w:rPr>
          <w:rFonts w:cstheme="minorHAnsi"/>
        </w:rPr>
      </w:pPr>
      <w:r w:rsidRPr="00F57956">
        <w:rPr>
          <w:rFonts w:cstheme="minorHAnsi"/>
        </w:rPr>
        <w:t xml:space="preserve">The </w:t>
      </w:r>
      <w:hyperlink r:id="rId14" w:history="1">
        <w:r w:rsidRPr="00640702">
          <w:rPr>
            <w:rStyle w:val="Hyperlink"/>
            <w:rFonts w:cstheme="minorHAnsi"/>
          </w:rPr>
          <w:t>NSW Valuer General</w:t>
        </w:r>
      </w:hyperlink>
      <w:r w:rsidRPr="00F57956">
        <w:rPr>
          <w:rFonts w:cstheme="minorHAnsi"/>
        </w:rPr>
        <w:t xml:space="preserve"> issues new land values to councils at least every three years and sends Notices of Valuation to the property owner. </w:t>
      </w:r>
    </w:p>
    <w:p w14:paraId="117940F4" w14:textId="7E104CF6" w:rsidR="00E0639C" w:rsidRPr="00F57956" w:rsidRDefault="00E0639C" w:rsidP="7661A9F9">
      <w:pPr>
        <w:pStyle w:val="NoSpacing"/>
      </w:pPr>
      <w:r w:rsidRPr="7661A9F9">
        <w:t xml:space="preserve">All councils received new land values for rating as </w:t>
      </w:r>
      <w:r w:rsidR="1C7050D7" w:rsidRPr="7661A9F9">
        <w:t>of</w:t>
      </w:r>
      <w:r w:rsidRPr="7661A9F9">
        <w:t xml:space="preserve"> 1 July 2019. Notices of Valuation were sent out to property owners from January 2020.</w:t>
      </w:r>
    </w:p>
    <w:p w14:paraId="38B789AB" w14:textId="77777777" w:rsidR="00050D64" w:rsidRPr="00F57956" w:rsidRDefault="00050D64" w:rsidP="00F57956">
      <w:pPr>
        <w:pStyle w:val="Heading2"/>
      </w:pPr>
      <w:r w:rsidRPr="00F57956">
        <w:t>Will Council’s total rates revenue increase?</w:t>
      </w:r>
    </w:p>
    <w:p w14:paraId="724006F0" w14:textId="77777777" w:rsidR="006878C1" w:rsidRPr="00F57956" w:rsidRDefault="00B13517" w:rsidP="00050D64">
      <w:pPr>
        <w:pStyle w:val="NoSpacing"/>
        <w:rPr>
          <w:rFonts w:cstheme="minorHAnsi"/>
        </w:rPr>
      </w:pPr>
      <w:r w:rsidRPr="00F57956">
        <w:rPr>
          <w:rFonts w:cstheme="minorHAnsi"/>
        </w:rPr>
        <w:t xml:space="preserve">No. </w:t>
      </w:r>
      <w:r w:rsidR="00FB5B05" w:rsidRPr="00F57956">
        <w:rPr>
          <w:rFonts w:cstheme="minorHAnsi"/>
        </w:rPr>
        <w:t xml:space="preserve">Some ratepayers will pay </w:t>
      </w:r>
      <w:r w:rsidRPr="00F57956">
        <w:rPr>
          <w:rFonts w:cstheme="minorHAnsi"/>
        </w:rPr>
        <w:t>more,</w:t>
      </w:r>
      <w:r w:rsidR="00FB5B05" w:rsidRPr="00F57956">
        <w:rPr>
          <w:rFonts w:cstheme="minorHAnsi"/>
        </w:rPr>
        <w:t xml:space="preserve"> and others will pay less</w:t>
      </w:r>
      <w:r w:rsidRPr="00F57956">
        <w:rPr>
          <w:rFonts w:cstheme="minorHAnsi"/>
        </w:rPr>
        <w:t>, but rates harmonisation does not mean Council will be increasing its overall revenue from rates.</w:t>
      </w:r>
    </w:p>
    <w:p w14:paraId="6C899EBC" w14:textId="785F0250" w:rsidR="00190B39" w:rsidRDefault="00CC69D0" w:rsidP="00050D64">
      <w:pPr>
        <w:pStyle w:val="NoSpacing"/>
        <w:rPr>
          <w:rFonts w:cstheme="minorHAnsi"/>
        </w:rPr>
      </w:pPr>
      <w:r>
        <w:rPr>
          <w:rFonts w:cstheme="minorHAnsi"/>
        </w:rPr>
        <w:t>The amount that Council raises from</w:t>
      </w:r>
      <w:r w:rsidR="006878C1" w:rsidRPr="00F57956">
        <w:rPr>
          <w:rFonts w:cstheme="minorHAnsi"/>
        </w:rPr>
        <w:t xml:space="preserve"> rates </w:t>
      </w:r>
      <w:r w:rsidR="000D60F1">
        <w:rPr>
          <w:rFonts w:cstheme="minorHAnsi"/>
        </w:rPr>
        <w:t>o</w:t>
      </w:r>
      <w:r w:rsidR="000D60F1" w:rsidRPr="00F57956">
        <w:rPr>
          <w:rFonts w:cstheme="minorHAnsi"/>
        </w:rPr>
        <w:t xml:space="preserve">verall </w:t>
      </w:r>
      <w:r w:rsidR="00032EA4" w:rsidRPr="00F57956">
        <w:rPr>
          <w:rFonts w:cstheme="minorHAnsi"/>
        </w:rPr>
        <w:t xml:space="preserve">may </w:t>
      </w:r>
      <w:r w:rsidR="001402FD" w:rsidRPr="00F57956">
        <w:rPr>
          <w:rFonts w:cstheme="minorHAnsi"/>
        </w:rPr>
        <w:t xml:space="preserve">only </w:t>
      </w:r>
      <w:r w:rsidR="006878C1" w:rsidRPr="00F57956">
        <w:rPr>
          <w:rFonts w:cstheme="minorHAnsi"/>
        </w:rPr>
        <w:t>increase each year by the rate peg.</w:t>
      </w:r>
    </w:p>
    <w:p w14:paraId="7BE72F32" w14:textId="77777777" w:rsidR="00190B39" w:rsidRDefault="00190B39">
      <w:pPr>
        <w:spacing w:before="0" w:after="160"/>
        <w:rPr>
          <w:rFonts w:cstheme="minorHAnsi"/>
        </w:rPr>
      </w:pPr>
      <w:r>
        <w:rPr>
          <w:rFonts w:cstheme="minorHAnsi"/>
        </w:rPr>
        <w:br w:type="page"/>
      </w:r>
    </w:p>
    <w:p w14:paraId="470F7541" w14:textId="77777777" w:rsidR="00E0639C" w:rsidRPr="00F57956" w:rsidRDefault="00E0639C" w:rsidP="00F57956">
      <w:pPr>
        <w:pStyle w:val="Heading2"/>
      </w:pPr>
      <w:r w:rsidRPr="00F57956">
        <w:lastRenderedPageBreak/>
        <w:t>What is rate pegging?</w:t>
      </w:r>
    </w:p>
    <w:p w14:paraId="4B60B5E6" w14:textId="77777777" w:rsidR="00E0639C" w:rsidRPr="00F57956" w:rsidRDefault="00E0639C" w:rsidP="00E0639C">
      <w:pPr>
        <w:pStyle w:val="NoSpacing"/>
        <w:rPr>
          <w:rFonts w:cstheme="minorHAnsi"/>
        </w:rPr>
      </w:pPr>
      <w:r w:rsidRPr="00F57956">
        <w:rPr>
          <w:rFonts w:cstheme="minorHAnsi"/>
        </w:rPr>
        <w:t xml:space="preserve">Rate pegging is the NSW Government’s limit on how much councils can increase their rates.  </w:t>
      </w:r>
    </w:p>
    <w:p w14:paraId="22FDE60D" w14:textId="5F1CD403" w:rsidR="00E0639C" w:rsidRPr="00F57956" w:rsidRDefault="00E0639C" w:rsidP="00E0639C">
      <w:pPr>
        <w:pStyle w:val="NoSpacing"/>
        <w:rPr>
          <w:rFonts w:cstheme="minorHAnsi"/>
        </w:rPr>
      </w:pPr>
      <w:r w:rsidRPr="00F57956">
        <w:rPr>
          <w:rFonts w:cstheme="minorHAnsi"/>
        </w:rPr>
        <w:t xml:space="preserve">Since 2011-12, the rate peg has been set annually by </w:t>
      </w:r>
      <w:r w:rsidR="001402FD" w:rsidRPr="00F57956">
        <w:rPr>
          <w:rFonts w:cstheme="minorHAnsi"/>
        </w:rPr>
        <w:t xml:space="preserve">the State’s pricing regulator, the </w:t>
      </w:r>
      <w:hyperlink r:id="rId15" w:history="1">
        <w:r w:rsidR="001402FD" w:rsidRPr="00EA4631">
          <w:rPr>
            <w:rStyle w:val="Hyperlink"/>
          </w:rPr>
          <w:t>Independent Pricing and Regulatory Tribunal</w:t>
        </w:r>
      </w:hyperlink>
      <w:r w:rsidR="001402FD" w:rsidRPr="00F57956">
        <w:t xml:space="preserve"> (</w:t>
      </w:r>
      <w:r w:rsidRPr="00F57956">
        <w:rPr>
          <w:rFonts w:cstheme="minorHAnsi"/>
        </w:rPr>
        <w:t>IPART</w:t>
      </w:r>
      <w:r w:rsidR="001402FD" w:rsidRPr="00F57956">
        <w:rPr>
          <w:rFonts w:cstheme="minorHAnsi"/>
        </w:rPr>
        <w:t>)</w:t>
      </w:r>
      <w:r w:rsidRPr="00F57956">
        <w:rPr>
          <w:rFonts w:cstheme="minorHAnsi"/>
        </w:rPr>
        <w:t>.</w:t>
      </w:r>
    </w:p>
    <w:p w14:paraId="26C165B2" w14:textId="377F6ACF" w:rsidR="00E0639C" w:rsidRPr="00F57956" w:rsidRDefault="00E0639C" w:rsidP="00E0639C">
      <w:pPr>
        <w:pStyle w:val="NoSpacing"/>
        <w:rPr>
          <w:rFonts w:cstheme="minorHAnsi"/>
        </w:rPr>
      </w:pPr>
      <w:r w:rsidRPr="00F57956">
        <w:rPr>
          <w:rFonts w:cstheme="minorHAnsi"/>
        </w:rPr>
        <w:t>This financial year, IPART set a limit of a rise of 2.6</w:t>
      </w:r>
      <w:r w:rsidR="00456333">
        <w:rPr>
          <w:rFonts w:cstheme="minorHAnsi"/>
        </w:rPr>
        <w:t>%</w:t>
      </w:r>
      <w:r w:rsidRPr="00F57956">
        <w:rPr>
          <w:rFonts w:cstheme="minorHAnsi"/>
        </w:rPr>
        <w:t>, following an increase of 2.7</w:t>
      </w:r>
      <w:r w:rsidR="00456333">
        <w:rPr>
          <w:rFonts w:cstheme="minorHAnsi"/>
        </w:rPr>
        <w:t xml:space="preserve">% </w:t>
      </w:r>
      <w:r w:rsidRPr="00F57956">
        <w:rPr>
          <w:rFonts w:cstheme="minorHAnsi"/>
        </w:rPr>
        <w:t>previously.</w:t>
      </w:r>
    </w:p>
    <w:p w14:paraId="6331566B" w14:textId="77777777" w:rsidR="00E0639C" w:rsidRPr="00F57956" w:rsidRDefault="00E0639C" w:rsidP="00E0639C">
      <w:pPr>
        <w:pStyle w:val="NoSpacing"/>
        <w:rPr>
          <w:rFonts w:cstheme="minorHAnsi"/>
        </w:rPr>
      </w:pPr>
      <w:r w:rsidRPr="00F57956">
        <w:t>IPART has set the 2021-22 rate peg for NSW councils at 2.0%.</w:t>
      </w:r>
    </w:p>
    <w:p w14:paraId="77311C28" w14:textId="09BB70B3" w:rsidR="00473322" w:rsidRPr="003D2547" w:rsidRDefault="00473322" w:rsidP="003D2547">
      <w:pPr>
        <w:pStyle w:val="Heading2"/>
      </w:pPr>
      <w:r w:rsidRPr="00F57956">
        <w:t xml:space="preserve">What is the new rating structure? </w:t>
      </w:r>
    </w:p>
    <w:p w14:paraId="365379B5" w14:textId="519DCA64" w:rsidR="009300F3" w:rsidRPr="00F57956" w:rsidRDefault="009300F3" w:rsidP="009300F3">
      <w:pPr>
        <w:pStyle w:val="NoSpacing"/>
        <w:rPr>
          <w:rFonts w:cstheme="minorHAnsi"/>
        </w:rPr>
      </w:pPr>
      <w:r w:rsidRPr="00F57956">
        <w:rPr>
          <w:rFonts w:cstheme="minorHAnsi"/>
        </w:rPr>
        <w:t>As part of the</w:t>
      </w:r>
      <w:r w:rsidR="00032EA4" w:rsidRPr="00F57956">
        <w:rPr>
          <w:rFonts w:cstheme="minorHAnsi"/>
        </w:rPr>
        <w:t xml:space="preserve"> rates</w:t>
      </w:r>
      <w:r w:rsidRPr="00F57956">
        <w:rPr>
          <w:rFonts w:cstheme="minorHAnsi"/>
        </w:rPr>
        <w:t xml:space="preserve"> harmonisation process, Council is introducing new minimum rates</w:t>
      </w:r>
      <w:r w:rsidR="00C84B2C" w:rsidRPr="00F57956">
        <w:rPr>
          <w:rFonts w:cstheme="minorHAnsi"/>
        </w:rPr>
        <w:t>.</w:t>
      </w:r>
    </w:p>
    <w:p w14:paraId="724AFF41" w14:textId="69F987AE" w:rsidR="009300F3" w:rsidRPr="00F57956" w:rsidRDefault="009300F3" w:rsidP="009300F3">
      <w:pPr>
        <w:pStyle w:val="NoSpacing"/>
        <w:rPr>
          <w:rFonts w:cstheme="minorHAnsi"/>
        </w:rPr>
      </w:pPr>
      <w:r w:rsidRPr="00F57956">
        <w:rPr>
          <w:rFonts w:cstheme="minorHAnsi"/>
        </w:rPr>
        <w:t>The proposed new minimum rate</w:t>
      </w:r>
      <w:r w:rsidR="00032EA4" w:rsidRPr="00F57956">
        <w:rPr>
          <w:rFonts w:cstheme="minorHAnsi"/>
        </w:rPr>
        <w:t>s are:</w:t>
      </w:r>
      <w:r w:rsidRPr="00F57956">
        <w:rPr>
          <w:rFonts w:cstheme="minorHAnsi"/>
        </w:rPr>
        <w:t xml:space="preserve"> </w:t>
      </w:r>
    </w:p>
    <w:p w14:paraId="2F9378CF" w14:textId="2ED10024" w:rsidR="009300F3" w:rsidRPr="00F57956" w:rsidRDefault="009300F3" w:rsidP="00C50136">
      <w:pPr>
        <w:pStyle w:val="NoSpacing"/>
        <w:numPr>
          <w:ilvl w:val="0"/>
          <w:numId w:val="16"/>
        </w:numPr>
      </w:pPr>
      <w:r w:rsidRPr="7661A9F9">
        <w:t>Residential – General</w:t>
      </w:r>
      <w:r w:rsidR="4A9881E9" w:rsidRPr="7661A9F9">
        <w:t xml:space="preserve"> </w:t>
      </w:r>
      <w:r w:rsidRPr="00F57956">
        <w:rPr>
          <w:rFonts w:cstheme="minorHAnsi"/>
        </w:rPr>
        <w:tab/>
      </w:r>
      <w:r w:rsidRPr="00F57956">
        <w:rPr>
          <w:rFonts w:cstheme="minorHAnsi"/>
        </w:rPr>
        <w:tab/>
      </w:r>
      <w:r w:rsidRPr="00F57956">
        <w:rPr>
          <w:rFonts w:cstheme="minorHAnsi"/>
        </w:rPr>
        <w:tab/>
      </w:r>
      <w:r w:rsidRPr="00F57956">
        <w:rPr>
          <w:rFonts w:cstheme="minorHAnsi"/>
        </w:rPr>
        <w:tab/>
      </w:r>
      <w:r w:rsidRPr="00F57956">
        <w:rPr>
          <w:rFonts w:cstheme="minorHAnsi"/>
        </w:rPr>
        <w:tab/>
      </w:r>
      <w:r w:rsidRPr="00F57956">
        <w:rPr>
          <w:rFonts w:cstheme="minorHAnsi"/>
        </w:rPr>
        <w:tab/>
      </w:r>
      <w:r w:rsidRPr="7661A9F9">
        <w:t>$850</w:t>
      </w:r>
    </w:p>
    <w:p w14:paraId="478E7CA8" w14:textId="49C31F8D" w:rsidR="009300F3" w:rsidRPr="00F57956" w:rsidRDefault="009300F3" w:rsidP="00C50136">
      <w:pPr>
        <w:pStyle w:val="NoSpacing"/>
        <w:numPr>
          <w:ilvl w:val="0"/>
          <w:numId w:val="16"/>
        </w:numPr>
      </w:pPr>
      <w:r w:rsidRPr="7661A9F9">
        <w:t>Business – (General, Industrial, Malls and Airport)</w:t>
      </w:r>
      <w:r w:rsidR="0096114A" w:rsidRPr="7661A9F9">
        <w:t xml:space="preserve"> </w:t>
      </w:r>
      <w:r w:rsidRPr="00F57956">
        <w:rPr>
          <w:rFonts w:cstheme="minorHAnsi"/>
        </w:rPr>
        <w:tab/>
      </w:r>
      <w:r w:rsidRPr="00F57956">
        <w:rPr>
          <w:rFonts w:cstheme="minorHAnsi"/>
        </w:rPr>
        <w:tab/>
      </w:r>
      <w:r w:rsidRPr="7661A9F9">
        <w:t>$820</w:t>
      </w:r>
    </w:p>
    <w:p w14:paraId="03A96B87" w14:textId="66F6ABB0" w:rsidR="009300F3" w:rsidRPr="00F57956" w:rsidRDefault="009300F3" w:rsidP="009300F3">
      <w:pPr>
        <w:pStyle w:val="NoSpacing"/>
        <w:rPr>
          <w:rFonts w:cstheme="minorHAnsi"/>
        </w:rPr>
      </w:pPr>
      <w:r w:rsidRPr="00F57956">
        <w:rPr>
          <w:rFonts w:cstheme="minorHAnsi"/>
        </w:rPr>
        <w:t>This means that all ratepayers will pay at least $850 for residential or $820 for business rates but some will may more depending on the value of their land. This is called an ‘</w:t>
      </w:r>
      <w:r w:rsidRPr="00F57956">
        <w:t xml:space="preserve">ad valorem’ which means </w:t>
      </w:r>
      <w:r w:rsidRPr="00F57956">
        <w:rPr>
          <w:rFonts w:cstheme="minorHAnsi"/>
          <w:color w:val="000000"/>
        </w:rPr>
        <w:t>rate per dollar of land value.</w:t>
      </w:r>
    </w:p>
    <w:p w14:paraId="24E79C8A" w14:textId="77777777" w:rsidR="009300F3" w:rsidRPr="00F57956" w:rsidRDefault="009300F3" w:rsidP="009300F3">
      <w:pPr>
        <w:pStyle w:val="NoSpacing"/>
        <w:rPr>
          <w:rFonts w:cstheme="minorHAnsi"/>
        </w:rPr>
      </w:pPr>
      <w:r w:rsidRPr="00F57956">
        <w:rPr>
          <w:rFonts w:cstheme="minorHAnsi"/>
        </w:rPr>
        <w:t xml:space="preserve">This is the fairest way to calculate rates so that everyone pays a reasonable contribution towards Council services. </w:t>
      </w:r>
    </w:p>
    <w:p w14:paraId="5E4ED08F" w14:textId="68098D05" w:rsidR="002E57F0" w:rsidRDefault="00754F4F" w:rsidP="008E254E">
      <w:pPr>
        <w:pStyle w:val="NoSpacing"/>
        <w:rPr>
          <w:rFonts w:cs="Calibri"/>
          <w:b/>
          <w:bCs/>
          <w:color w:val="202124"/>
        </w:rPr>
      </w:pPr>
      <w:r w:rsidRPr="00F57956">
        <w:rPr>
          <w:rFonts w:cs="Calibri"/>
          <w:b/>
          <w:bCs/>
          <w:color w:val="202124"/>
        </w:rPr>
        <w:t xml:space="preserve">You can find </w:t>
      </w:r>
      <w:r w:rsidR="0026630E" w:rsidRPr="00F57956">
        <w:rPr>
          <w:rFonts w:cs="Calibri"/>
          <w:b/>
          <w:bCs/>
          <w:color w:val="202124"/>
        </w:rPr>
        <w:t>an estimate of</w:t>
      </w:r>
      <w:r w:rsidRPr="00F57956">
        <w:rPr>
          <w:rFonts w:cs="Calibri"/>
          <w:b/>
          <w:bCs/>
          <w:color w:val="202124"/>
        </w:rPr>
        <w:t xml:space="preserve"> the impact on your </w:t>
      </w:r>
      <w:r w:rsidR="0026630E" w:rsidRPr="00F57956">
        <w:rPr>
          <w:rFonts w:cs="Calibri"/>
          <w:b/>
          <w:bCs/>
          <w:color w:val="202124"/>
        </w:rPr>
        <w:t xml:space="preserve">property’s </w:t>
      </w:r>
      <w:r w:rsidR="00450007">
        <w:rPr>
          <w:rFonts w:cs="Calibri"/>
          <w:b/>
          <w:bCs/>
          <w:color w:val="202124"/>
        </w:rPr>
        <w:t>General Rates</w:t>
      </w:r>
      <w:r w:rsidRPr="00F57956">
        <w:rPr>
          <w:rFonts w:cs="Calibri"/>
          <w:b/>
          <w:bCs/>
          <w:color w:val="202124"/>
        </w:rPr>
        <w:t xml:space="preserve"> using the </w:t>
      </w:r>
      <w:hyperlink r:id="rId16" w:history="1">
        <w:r w:rsidRPr="008E254E">
          <w:rPr>
            <w:rStyle w:val="Hyperlink"/>
            <w:rFonts w:cs="Calibri"/>
            <w:b/>
            <w:bCs/>
          </w:rPr>
          <w:t>online rates</w:t>
        </w:r>
        <w:r w:rsidR="008E254E" w:rsidRPr="008E254E">
          <w:rPr>
            <w:rStyle w:val="Hyperlink"/>
            <w:rFonts w:cs="Calibri"/>
            <w:b/>
            <w:bCs/>
          </w:rPr>
          <w:t xml:space="preserve"> </w:t>
        </w:r>
        <w:r w:rsidRPr="008E254E">
          <w:rPr>
            <w:rStyle w:val="Hyperlink"/>
            <w:rFonts w:cs="Calibri"/>
            <w:b/>
            <w:bCs/>
          </w:rPr>
          <w:t>calculator</w:t>
        </w:r>
      </w:hyperlink>
      <w:r w:rsidRPr="00F57956">
        <w:rPr>
          <w:rFonts w:cs="Calibri"/>
          <w:b/>
          <w:bCs/>
          <w:color w:val="202124"/>
        </w:rPr>
        <w:t>.</w:t>
      </w:r>
      <w:r w:rsidR="00AD46DD">
        <w:rPr>
          <w:rFonts w:cs="Calibri"/>
          <w:b/>
          <w:bCs/>
          <w:color w:val="202124"/>
        </w:rPr>
        <w:t xml:space="preserve"> </w:t>
      </w:r>
      <w:r w:rsidR="00AD46DD">
        <w:rPr>
          <w:color w:val="000000"/>
          <w:shd w:val="clear" w:color="auto" w:fill="FFFFFF"/>
        </w:rPr>
        <w:t>The amounts do not include Waste and Stormwater charges or Pensioner Rebates/Discounts.</w:t>
      </w:r>
      <w:bookmarkStart w:id="0" w:name="_GoBack"/>
      <w:bookmarkEnd w:id="0"/>
    </w:p>
    <w:p w14:paraId="4737F557" w14:textId="77777777" w:rsidR="00A02BA0" w:rsidRPr="00AB2ED2" w:rsidRDefault="00A02BA0" w:rsidP="00A02BA0">
      <w:pPr>
        <w:pStyle w:val="NoSpacing"/>
        <w:rPr>
          <w:rFonts w:cstheme="minorHAnsi"/>
        </w:rPr>
      </w:pPr>
      <w:r w:rsidRPr="00F57956">
        <w:rPr>
          <w:rFonts w:cstheme="minorHAnsi"/>
        </w:rPr>
        <w:t xml:space="preserve">The following tables show how the new rating structure will change rates based on a low, average and high value property in each former Council area. </w:t>
      </w:r>
    </w:p>
    <w:p w14:paraId="0CD63B59" w14:textId="77777777" w:rsidR="00190B39" w:rsidRPr="00190B39" w:rsidRDefault="00190B39" w:rsidP="00190B39"/>
    <w:p w14:paraId="771B5AFB" w14:textId="49A36C84" w:rsidR="00026FA6" w:rsidRPr="00026FA6" w:rsidRDefault="0093089C" w:rsidP="009425D6">
      <w:pPr>
        <w:pStyle w:val="Heading3"/>
      </w:pPr>
      <w:r w:rsidRPr="00F57956">
        <w:t>Residential ratepayers</w:t>
      </w:r>
      <w:r w:rsidR="009425D6">
        <w:br/>
      </w:r>
    </w:p>
    <w:tbl>
      <w:tblPr>
        <w:tblStyle w:val="TableGrid"/>
        <w:tblW w:w="9493" w:type="dxa"/>
        <w:tblLook w:val="04A0" w:firstRow="1" w:lastRow="0" w:firstColumn="1" w:lastColumn="0" w:noHBand="0" w:noVBand="1"/>
      </w:tblPr>
      <w:tblGrid>
        <w:gridCol w:w="3114"/>
        <w:gridCol w:w="1701"/>
        <w:gridCol w:w="1984"/>
        <w:gridCol w:w="2694"/>
      </w:tblGrid>
      <w:tr w:rsidR="00EA5B1C" w:rsidRPr="00F57956" w14:paraId="21CE3A92" w14:textId="77777777" w:rsidTr="00A002C8">
        <w:trPr>
          <w:tblHeader/>
        </w:trPr>
        <w:tc>
          <w:tcPr>
            <w:tcW w:w="3114" w:type="dxa"/>
          </w:tcPr>
          <w:p w14:paraId="27AE6ACC" w14:textId="6F404E26" w:rsidR="00EA5B1C" w:rsidRPr="00F57956" w:rsidRDefault="00EA5B1C" w:rsidP="00BF2AD7">
            <w:pPr>
              <w:pStyle w:val="NoSpacing"/>
              <w:rPr>
                <w:rFonts w:cstheme="minorHAnsi"/>
                <w:b/>
                <w:bCs/>
              </w:rPr>
            </w:pPr>
            <w:r w:rsidRPr="00F57956">
              <w:rPr>
                <w:rFonts w:cstheme="minorHAnsi"/>
                <w:b/>
                <w:bCs/>
              </w:rPr>
              <w:t xml:space="preserve">Former Ashfield Council </w:t>
            </w:r>
            <w:r>
              <w:rPr>
                <w:rFonts w:cstheme="minorHAnsi"/>
                <w:b/>
                <w:bCs/>
              </w:rPr>
              <w:t>a</w:t>
            </w:r>
            <w:r w:rsidRPr="00F57956">
              <w:rPr>
                <w:rFonts w:cstheme="minorHAnsi"/>
                <w:b/>
                <w:bCs/>
              </w:rPr>
              <w:t xml:space="preserve">rea land value </w:t>
            </w:r>
            <w:r w:rsidRPr="00F57956">
              <w:rPr>
                <w:rFonts w:cstheme="minorHAnsi"/>
              </w:rPr>
              <w:t>(unimproved*)</w:t>
            </w:r>
          </w:p>
        </w:tc>
        <w:tc>
          <w:tcPr>
            <w:tcW w:w="1701" w:type="dxa"/>
          </w:tcPr>
          <w:p w14:paraId="6943CEEE" w14:textId="56C26746" w:rsidR="00EA5B1C" w:rsidRPr="00F57956" w:rsidRDefault="00EA5B1C" w:rsidP="00BF2AD7">
            <w:pPr>
              <w:pStyle w:val="NoSpacing"/>
              <w:rPr>
                <w:rFonts w:cstheme="minorHAnsi"/>
              </w:rPr>
            </w:pPr>
            <w:r w:rsidRPr="00F57956">
              <w:rPr>
                <w:rFonts w:cstheme="minorHAnsi"/>
              </w:rPr>
              <w:t>2020/21 Rates</w:t>
            </w:r>
          </w:p>
        </w:tc>
        <w:tc>
          <w:tcPr>
            <w:tcW w:w="1984" w:type="dxa"/>
          </w:tcPr>
          <w:p w14:paraId="6966617E" w14:textId="77777777" w:rsidR="00EA5B1C" w:rsidRPr="00F57956" w:rsidRDefault="00EA5B1C" w:rsidP="00BF2AD7">
            <w:pPr>
              <w:pStyle w:val="NoSpacing"/>
              <w:rPr>
                <w:rFonts w:cstheme="minorHAnsi"/>
              </w:rPr>
            </w:pPr>
            <w:r w:rsidRPr="00F57956">
              <w:rPr>
                <w:rFonts w:cstheme="minorHAnsi"/>
              </w:rPr>
              <w:t>2021/22 Rates</w:t>
            </w:r>
          </w:p>
          <w:p w14:paraId="17B7013B" w14:textId="77777777" w:rsidR="00EA5B1C" w:rsidRPr="00F57956" w:rsidRDefault="00EA5B1C" w:rsidP="00BF2AD7">
            <w:pPr>
              <w:pStyle w:val="NoSpacing"/>
              <w:rPr>
                <w:rFonts w:cstheme="minorHAnsi"/>
                <w:sz w:val="20"/>
                <w:szCs w:val="20"/>
              </w:rPr>
            </w:pPr>
            <w:r w:rsidRPr="00F57956">
              <w:rPr>
                <w:rFonts w:cstheme="minorHAnsi"/>
                <w:sz w:val="20"/>
                <w:szCs w:val="20"/>
              </w:rPr>
              <w:t>(New rating structure)</w:t>
            </w:r>
          </w:p>
        </w:tc>
        <w:tc>
          <w:tcPr>
            <w:tcW w:w="2694" w:type="dxa"/>
          </w:tcPr>
          <w:p w14:paraId="62B701D5" w14:textId="34232A75" w:rsidR="00EA5B1C" w:rsidRPr="00F57956" w:rsidRDefault="00EA5B1C" w:rsidP="00BF2AD7">
            <w:pPr>
              <w:pStyle w:val="NoSpacing"/>
              <w:rPr>
                <w:rFonts w:cstheme="minorHAnsi"/>
              </w:rPr>
            </w:pPr>
            <w:r w:rsidRPr="00F57956">
              <w:rPr>
                <w:rFonts w:cstheme="minorHAnsi"/>
              </w:rPr>
              <w:t xml:space="preserve">% </w:t>
            </w:r>
            <w:r w:rsidR="00E904D1">
              <w:rPr>
                <w:rFonts w:cstheme="minorHAnsi"/>
              </w:rPr>
              <w:t xml:space="preserve">and $ </w:t>
            </w:r>
            <w:r w:rsidRPr="00F57956">
              <w:rPr>
                <w:rFonts w:cstheme="minorHAnsi"/>
              </w:rPr>
              <w:t>impact</w:t>
            </w:r>
            <w:r>
              <w:rPr>
                <w:rFonts w:cstheme="minorHAnsi"/>
              </w:rPr>
              <w:t>/</w:t>
            </w:r>
            <w:r w:rsidRPr="00F57956">
              <w:rPr>
                <w:rFonts w:cstheme="minorHAnsi"/>
              </w:rPr>
              <w:t>change</w:t>
            </w:r>
          </w:p>
        </w:tc>
      </w:tr>
      <w:tr w:rsidR="00EA5B1C" w:rsidRPr="00F57956" w14:paraId="23CA7252" w14:textId="77777777" w:rsidTr="00A002C8">
        <w:trPr>
          <w:cantSplit/>
        </w:trPr>
        <w:tc>
          <w:tcPr>
            <w:tcW w:w="3114" w:type="dxa"/>
          </w:tcPr>
          <w:p w14:paraId="2F1D314F" w14:textId="3F916A41" w:rsidR="00EA5B1C" w:rsidRPr="00F57956" w:rsidRDefault="00EA5B1C" w:rsidP="00EA5B1C">
            <w:pPr>
              <w:pStyle w:val="NoSpacing"/>
              <w:rPr>
                <w:rFonts w:cstheme="minorHAnsi"/>
              </w:rPr>
            </w:pPr>
            <w:r w:rsidRPr="00F57956">
              <w:rPr>
                <w:rFonts w:cstheme="minorHAnsi"/>
              </w:rPr>
              <w:t>Low</w:t>
            </w:r>
            <w:r>
              <w:rPr>
                <w:rFonts w:cstheme="minorHAnsi"/>
              </w:rPr>
              <w:t xml:space="preserve"> </w:t>
            </w:r>
            <w:r w:rsidRPr="00F57956">
              <w:rPr>
                <w:rFonts w:cstheme="minorHAnsi"/>
              </w:rPr>
              <w:t>$265,998</w:t>
            </w:r>
          </w:p>
        </w:tc>
        <w:tc>
          <w:tcPr>
            <w:tcW w:w="1701" w:type="dxa"/>
          </w:tcPr>
          <w:p w14:paraId="0DF978BF" w14:textId="4ABA85F5" w:rsidR="00EA5B1C" w:rsidRPr="00BC4320" w:rsidRDefault="00A530EF" w:rsidP="00BF2AD7">
            <w:pPr>
              <w:pStyle w:val="NoSpacing"/>
              <w:rPr>
                <w:rFonts w:cstheme="minorHAnsi"/>
              </w:rPr>
            </w:pPr>
            <w:r w:rsidRPr="00F57956">
              <w:rPr>
                <w:rFonts w:cstheme="minorHAnsi"/>
                <w:color w:val="000000" w:themeColor="text1"/>
              </w:rPr>
              <w:t xml:space="preserve">$994   </w:t>
            </w:r>
          </w:p>
        </w:tc>
        <w:tc>
          <w:tcPr>
            <w:tcW w:w="1984" w:type="dxa"/>
          </w:tcPr>
          <w:p w14:paraId="3699F115" w14:textId="77777777" w:rsidR="00EA5B1C" w:rsidRPr="00BC4320" w:rsidRDefault="00EA5B1C" w:rsidP="00BF2AD7">
            <w:pPr>
              <w:pStyle w:val="NoSpacing"/>
              <w:rPr>
                <w:rFonts w:cstheme="minorHAnsi"/>
              </w:rPr>
            </w:pPr>
            <w:r w:rsidRPr="00BC4320">
              <w:rPr>
                <w:rFonts w:cstheme="minorHAnsi"/>
              </w:rPr>
              <w:t>$850</w:t>
            </w:r>
          </w:p>
        </w:tc>
        <w:tc>
          <w:tcPr>
            <w:tcW w:w="2694" w:type="dxa"/>
          </w:tcPr>
          <w:p w14:paraId="4AC28739" w14:textId="77777777" w:rsidR="00EA5B1C" w:rsidRPr="00F57956" w:rsidRDefault="00EA5B1C" w:rsidP="00BF2AD7">
            <w:pPr>
              <w:pStyle w:val="NoSpacing"/>
              <w:rPr>
                <w:rFonts w:cstheme="minorHAnsi"/>
              </w:rPr>
            </w:pPr>
            <w:r w:rsidRPr="00F57956">
              <w:rPr>
                <w:rFonts w:cstheme="minorHAnsi"/>
              </w:rPr>
              <w:t>-14.5% (-$144)</w:t>
            </w:r>
          </w:p>
        </w:tc>
      </w:tr>
      <w:tr w:rsidR="00EA5B1C" w:rsidRPr="00F57956" w14:paraId="72F572A1" w14:textId="77777777" w:rsidTr="00A002C8">
        <w:tc>
          <w:tcPr>
            <w:tcW w:w="3114" w:type="dxa"/>
          </w:tcPr>
          <w:p w14:paraId="49C1CBC0" w14:textId="48A612A2" w:rsidR="00EA5B1C" w:rsidRPr="00F57956" w:rsidRDefault="00EA5B1C" w:rsidP="00EA5B1C">
            <w:pPr>
              <w:pStyle w:val="NoSpacing"/>
              <w:rPr>
                <w:rFonts w:cstheme="minorHAnsi"/>
              </w:rPr>
            </w:pPr>
            <w:r w:rsidRPr="00F57956">
              <w:rPr>
                <w:rFonts w:cstheme="minorHAnsi"/>
              </w:rPr>
              <w:t>Average</w:t>
            </w:r>
            <w:r>
              <w:rPr>
                <w:rFonts w:cstheme="minorHAnsi"/>
              </w:rPr>
              <w:t xml:space="preserve"> </w:t>
            </w:r>
            <w:r w:rsidRPr="00F57956">
              <w:rPr>
                <w:rFonts w:cstheme="minorHAnsi"/>
              </w:rPr>
              <w:t>$500,000</w:t>
            </w:r>
          </w:p>
        </w:tc>
        <w:tc>
          <w:tcPr>
            <w:tcW w:w="1701" w:type="dxa"/>
          </w:tcPr>
          <w:p w14:paraId="2AB260D7" w14:textId="3E405690" w:rsidR="00EA5B1C" w:rsidRPr="00BC4320" w:rsidRDefault="00A530EF" w:rsidP="00BF2AD7">
            <w:pPr>
              <w:pStyle w:val="NoSpacing"/>
              <w:rPr>
                <w:rFonts w:cstheme="minorHAnsi"/>
              </w:rPr>
            </w:pPr>
            <w:r w:rsidRPr="00F57956">
              <w:rPr>
                <w:rFonts w:cstheme="minorHAnsi"/>
                <w:color w:val="000000" w:themeColor="text1"/>
              </w:rPr>
              <w:t xml:space="preserve">$1,217   </w:t>
            </w:r>
          </w:p>
        </w:tc>
        <w:tc>
          <w:tcPr>
            <w:tcW w:w="1984" w:type="dxa"/>
          </w:tcPr>
          <w:p w14:paraId="1839D4A6" w14:textId="77777777" w:rsidR="00EA5B1C" w:rsidRPr="00BC4320" w:rsidRDefault="00EA5B1C" w:rsidP="00BF2AD7">
            <w:pPr>
              <w:pStyle w:val="NoSpacing"/>
              <w:rPr>
                <w:rFonts w:cstheme="minorHAnsi"/>
              </w:rPr>
            </w:pPr>
            <w:r w:rsidRPr="00BC4320">
              <w:rPr>
                <w:rFonts w:cstheme="minorHAnsi"/>
              </w:rPr>
              <w:t>$850</w:t>
            </w:r>
          </w:p>
        </w:tc>
        <w:tc>
          <w:tcPr>
            <w:tcW w:w="2694" w:type="dxa"/>
          </w:tcPr>
          <w:p w14:paraId="7D9FB526" w14:textId="77777777" w:rsidR="00EA5B1C" w:rsidRPr="00F57956" w:rsidRDefault="00EA5B1C" w:rsidP="00BF2AD7">
            <w:pPr>
              <w:pStyle w:val="NoSpacing"/>
              <w:rPr>
                <w:rFonts w:cstheme="minorHAnsi"/>
              </w:rPr>
            </w:pPr>
            <w:r w:rsidRPr="00F57956">
              <w:rPr>
                <w:rFonts w:cstheme="minorHAnsi"/>
              </w:rPr>
              <w:t>-30.2% (-$367)</w:t>
            </w:r>
          </w:p>
        </w:tc>
      </w:tr>
      <w:tr w:rsidR="00EA5B1C" w:rsidRPr="00F57956" w14:paraId="37D953A2" w14:textId="77777777" w:rsidTr="00A002C8">
        <w:tc>
          <w:tcPr>
            <w:tcW w:w="3114" w:type="dxa"/>
          </w:tcPr>
          <w:p w14:paraId="7F9801CE" w14:textId="27A6A840" w:rsidR="00EA5B1C" w:rsidRPr="00F57956" w:rsidRDefault="00EA5B1C" w:rsidP="00EA5B1C">
            <w:pPr>
              <w:pStyle w:val="NoSpacing"/>
              <w:rPr>
                <w:rFonts w:cstheme="minorHAnsi"/>
              </w:rPr>
            </w:pPr>
            <w:r w:rsidRPr="00F57956">
              <w:rPr>
                <w:rFonts w:cstheme="minorHAnsi"/>
              </w:rPr>
              <w:t>High</w:t>
            </w:r>
            <w:r>
              <w:rPr>
                <w:rFonts w:cstheme="minorHAnsi"/>
              </w:rPr>
              <w:t xml:space="preserve"> </w:t>
            </w:r>
            <w:r w:rsidRPr="00F57956">
              <w:rPr>
                <w:rFonts w:cstheme="minorHAnsi"/>
              </w:rPr>
              <w:t>$1,230,000</w:t>
            </w:r>
          </w:p>
        </w:tc>
        <w:tc>
          <w:tcPr>
            <w:tcW w:w="1701" w:type="dxa"/>
          </w:tcPr>
          <w:p w14:paraId="058A2D48" w14:textId="5FEEDE39" w:rsidR="00EA5B1C" w:rsidRPr="00BC4320" w:rsidRDefault="00A530EF" w:rsidP="00BF2AD7">
            <w:pPr>
              <w:pStyle w:val="NoSpacing"/>
              <w:rPr>
                <w:rFonts w:cstheme="minorHAnsi"/>
              </w:rPr>
            </w:pPr>
            <w:r w:rsidRPr="00F57956">
              <w:rPr>
                <w:rFonts w:cstheme="minorHAnsi"/>
                <w:color w:val="000000" w:themeColor="text1"/>
              </w:rPr>
              <w:t xml:space="preserve">$1,942   </w:t>
            </w:r>
          </w:p>
        </w:tc>
        <w:tc>
          <w:tcPr>
            <w:tcW w:w="1984" w:type="dxa"/>
          </w:tcPr>
          <w:p w14:paraId="20F7D6EF" w14:textId="6BF7F780" w:rsidR="00EA5B1C" w:rsidRPr="00BC4320" w:rsidRDefault="00A530EF" w:rsidP="00BF2AD7">
            <w:pPr>
              <w:pStyle w:val="NoSpacing"/>
              <w:rPr>
                <w:rFonts w:cstheme="minorHAnsi"/>
              </w:rPr>
            </w:pPr>
            <w:r w:rsidRPr="00F57956">
              <w:rPr>
                <w:rFonts w:cstheme="minorHAnsi"/>
              </w:rPr>
              <w:t xml:space="preserve">$1,501   </w:t>
            </w:r>
          </w:p>
        </w:tc>
        <w:tc>
          <w:tcPr>
            <w:tcW w:w="2694" w:type="dxa"/>
          </w:tcPr>
          <w:p w14:paraId="5EFD5601" w14:textId="77777777" w:rsidR="00EA5B1C" w:rsidRPr="00F57956" w:rsidRDefault="00EA5B1C" w:rsidP="00BF2AD7">
            <w:pPr>
              <w:pStyle w:val="NoSpacing"/>
              <w:rPr>
                <w:rFonts w:cstheme="minorHAnsi"/>
              </w:rPr>
            </w:pPr>
            <w:r w:rsidRPr="00F57956">
              <w:rPr>
                <w:rFonts w:cstheme="minorHAnsi"/>
              </w:rPr>
              <w:t>-22.7% (-$441)</w:t>
            </w:r>
          </w:p>
        </w:tc>
      </w:tr>
    </w:tbl>
    <w:p w14:paraId="276A3D94" w14:textId="77777777" w:rsidR="0093089C" w:rsidRPr="00F57956" w:rsidRDefault="0093089C" w:rsidP="0093089C">
      <w:pPr>
        <w:pStyle w:val="NoSpacing"/>
        <w:rPr>
          <w:rFonts w:cstheme="minorHAnsi"/>
        </w:rPr>
      </w:pPr>
    </w:p>
    <w:tbl>
      <w:tblPr>
        <w:tblStyle w:val="TableGrid"/>
        <w:tblW w:w="9493" w:type="dxa"/>
        <w:tblLook w:val="04A0" w:firstRow="1" w:lastRow="0" w:firstColumn="1" w:lastColumn="0" w:noHBand="0" w:noVBand="1"/>
      </w:tblPr>
      <w:tblGrid>
        <w:gridCol w:w="3114"/>
        <w:gridCol w:w="1701"/>
        <w:gridCol w:w="1984"/>
        <w:gridCol w:w="2694"/>
      </w:tblGrid>
      <w:tr w:rsidR="0093089C" w:rsidRPr="00F57956" w14:paraId="427783C1" w14:textId="77777777" w:rsidTr="00A002C8">
        <w:trPr>
          <w:cantSplit/>
          <w:tblHeader/>
        </w:trPr>
        <w:tc>
          <w:tcPr>
            <w:tcW w:w="3114" w:type="dxa"/>
          </w:tcPr>
          <w:p w14:paraId="31C9146F" w14:textId="24A87C35" w:rsidR="0093089C" w:rsidRPr="00F57956" w:rsidRDefault="0093089C" w:rsidP="00EA5B1C">
            <w:pPr>
              <w:pStyle w:val="NoSpacing"/>
              <w:rPr>
                <w:rFonts w:cstheme="minorHAnsi"/>
                <w:b/>
                <w:bCs/>
              </w:rPr>
            </w:pPr>
            <w:r w:rsidRPr="00F57956">
              <w:rPr>
                <w:rFonts w:cstheme="minorHAnsi"/>
                <w:b/>
                <w:bCs/>
              </w:rPr>
              <w:t xml:space="preserve">Former Leichhardt Council area land value </w:t>
            </w:r>
            <w:r w:rsidRPr="00F57956">
              <w:rPr>
                <w:rFonts w:cstheme="minorHAnsi"/>
              </w:rPr>
              <w:t>(unimproved*)</w:t>
            </w:r>
          </w:p>
        </w:tc>
        <w:tc>
          <w:tcPr>
            <w:tcW w:w="1701" w:type="dxa"/>
          </w:tcPr>
          <w:p w14:paraId="0A21AC9C" w14:textId="77777777" w:rsidR="0093089C" w:rsidRPr="00F57956" w:rsidRDefault="0093089C" w:rsidP="00BF2AD7">
            <w:pPr>
              <w:pStyle w:val="NoSpacing"/>
              <w:rPr>
                <w:rFonts w:cstheme="minorHAnsi"/>
              </w:rPr>
            </w:pPr>
            <w:r w:rsidRPr="00F57956">
              <w:rPr>
                <w:rFonts w:cstheme="minorHAnsi"/>
              </w:rPr>
              <w:t>2020/21 Rates</w:t>
            </w:r>
          </w:p>
        </w:tc>
        <w:tc>
          <w:tcPr>
            <w:tcW w:w="1984" w:type="dxa"/>
          </w:tcPr>
          <w:p w14:paraId="48E79EAF" w14:textId="77777777" w:rsidR="0093089C" w:rsidRPr="00F57956" w:rsidRDefault="0093089C" w:rsidP="00BF2AD7">
            <w:pPr>
              <w:pStyle w:val="NoSpacing"/>
              <w:rPr>
                <w:rFonts w:cstheme="minorHAnsi"/>
              </w:rPr>
            </w:pPr>
            <w:r w:rsidRPr="00F57956">
              <w:rPr>
                <w:rFonts w:cstheme="minorHAnsi"/>
              </w:rPr>
              <w:t>2021/22 Rates</w:t>
            </w:r>
          </w:p>
          <w:p w14:paraId="78BF7A62" w14:textId="224F7A45" w:rsidR="0093089C" w:rsidRPr="00F57956" w:rsidRDefault="0093089C" w:rsidP="00BF2AD7">
            <w:pPr>
              <w:pStyle w:val="NoSpacing"/>
              <w:rPr>
                <w:rFonts w:cstheme="minorHAnsi"/>
                <w:sz w:val="20"/>
                <w:szCs w:val="20"/>
              </w:rPr>
            </w:pPr>
            <w:r w:rsidRPr="00F57956">
              <w:rPr>
                <w:rFonts w:cstheme="minorHAnsi"/>
                <w:sz w:val="20"/>
                <w:szCs w:val="20"/>
              </w:rPr>
              <w:t xml:space="preserve">(New rating </w:t>
            </w:r>
            <w:r w:rsidR="00EA5B1C">
              <w:rPr>
                <w:rFonts w:cstheme="minorHAnsi"/>
                <w:sz w:val="20"/>
                <w:szCs w:val="20"/>
              </w:rPr>
              <w:t>s</w:t>
            </w:r>
            <w:r w:rsidRPr="00F57956">
              <w:rPr>
                <w:rFonts w:cstheme="minorHAnsi"/>
                <w:sz w:val="20"/>
                <w:szCs w:val="20"/>
              </w:rPr>
              <w:t>tructure)</w:t>
            </w:r>
          </w:p>
        </w:tc>
        <w:tc>
          <w:tcPr>
            <w:tcW w:w="2694" w:type="dxa"/>
          </w:tcPr>
          <w:p w14:paraId="64C7077F" w14:textId="44208E04" w:rsidR="0093089C" w:rsidRPr="00F57956" w:rsidRDefault="00DF61AF" w:rsidP="00BF2AD7">
            <w:pPr>
              <w:pStyle w:val="NoSpacing"/>
              <w:rPr>
                <w:rFonts w:cstheme="minorHAnsi"/>
              </w:rPr>
            </w:pPr>
            <w:r w:rsidRPr="00F57956">
              <w:rPr>
                <w:rFonts w:cstheme="minorHAnsi"/>
              </w:rPr>
              <w:t>%</w:t>
            </w:r>
            <w:r w:rsidR="00E904D1" w:rsidRPr="00F57956">
              <w:rPr>
                <w:rFonts w:cstheme="minorHAnsi"/>
              </w:rPr>
              <w:t xml:space="preserve"> </w:t>
            </w:r>
            <w:r w:rsidR="00E904D1">
              <w:rPr>
                <w:rFonts w:cstheme="minorHAnsi"/>
              </w:rPr>
              <w:t xml:space="preserve">and $ </w:t>
            </w:r>
            <w:r w:rsidRPr="00F57956">
              <w:rPr>
                <w:rFonts w:cstheme="minorHAnsi"/>
              </w:rPr>
              <w:t>impact</w:t>
            </w:r>
            <w:r>
              <w:rPr>
                <w:rFonts w:cstheme="minorHAnsi"/>
              </w:rPr>
              <w:t>/</w:t>
            </w:r>
            <w:r w:rsidRPr="00F57956">
              <w:rPr>
                <w:rFonts w:cstheme="minorHAnsi"/>
              </w:rPr>
              <w:t>change</w:t>
            </w:r>
          </w:p>
        </w:tc>
      </w:tr>
      <w:tr w:rsidR="00EA5B1C" w:rsidRPr="00F57956" w14:paraId="33DA4BD2" w14:textId="77777777" w:rsidTr="00A002C8">
        <w:tc>
          <w:tcPr>
            <w:tcW w:w="3114" w:type="dxa"/>
          </w:tcPr>
          <w:p w14:paraId="55316DEC" w14:textId="7019583C" w:rsidR="00EA5B1C" w:rsidRPr="00F57956" w:rsidRDefault="00EA5B1C" w:rsidP="00EA5B1C">
            <w:pPr>
              <w:pStyle w:val="NoSpacing"/>
              <w:rPr>
                <w:rFonts w:cstheme="minorHAnsi"/>
              </w:rPr>
            </w:pPr>
            <w:r w:rsidRPr="00F57956">
              <w:rPr>
                <w:rFonts w:cstheme="minorHAnsi"/>
              </w:rPr>
              <w:t>Low</w:t>
            </w:r>
            <w:r>
              <w:rPr>
                <w:rFonts w:cstheme="minorHAnsi"/>
              </w:rPr>
              <w:t xml:space="preserve"> </w:t>
            </w:r>
            <w:r w:rsidRPr="00F57956">
              <w:rPr>
                <w:rFonts w:cstheme="minorHAnsi"/>
              </w:rPr>
              <w:t>$345,</w:t>
            </w:r>
            <w:r w:rsidR="00D864F1">
              <w:rPr>
                <w:rFonts w:cstheme="minorHAnsi"/>
              </w:rPr>
              <w:t>4</w:t>
            </w:r>
            <w:r w:rsidRPr="00F57956">
              <w:rPr>
                <w:rFonts w:cstheme="minorHAnsi"/>
              </w:rPr>
              <w:t>55</w:t>
            </w:r>
          </w:p>
        </w:tc>
        <w:tc>
          <w:tcPr>
            <w:tcW w:w="1701" w:type="dxa"/>
          </w:tcPr>
          <w:p w14:paraId="6452EA32" w14:textId="77777777" w:rsidR="00EA5B1C" w:rsidRPr="00F57956" w:rsidRDefault="00EA5B1C" w:rsidP="00BF2AD7">
            <w:pPr>
              <w:pStyle w:val="NoSpacing"/>
              <w:rPr>
                <w:rFonts w:cstheme="minorHAnsi"/>
              </w:rPr>
            </w:pPr>
            <w:r w:rsidRPr="00F57956">
              <w:rPr>
                <w:rFonts w:cstheme="minorHAnsi"/>
              </w:rPr>
              <w:t>$686</w:t>
            </w:r>
          </w:p>
        </w:tc>
        <w:tc>
          <w:tcPr>
            <w:tcW w:w="1984" w:type="dxa"/>
          </w:tcPr>
          <w:p w14:paraId="5BEF7CD8" w14:textId="77777777" w:rsidR="00EA5B1C" w:rsidRPr="00F57956" w:rsidRDefault="00EA5B1C" w:rsidP="00BF2AD7">
            <w:pPr>
              <w:pStyle w:val="NoSpacing"/>
              <w:rPr>
                <w:rFonts w:cstheme="minorHAnsi"/>
              </w:rPr>
            </w:pPr>
            <w:r w:rsidRPr="00F57956">
              <w:rPr>
                <w:rFonts w:cstheme="minorHAnsi"/>
              </w:rPr>
              <w:t>$850</w:t>
            </w:r>
          </w:p>
        </w:tc>
        <w:tc>
          <w:tcPr>
            <w:tcW w:w="2694" w:type="dxa"/>
          </w:tcPr>
          <w:p w14:paraId="0D954DE7" w14:textId="77777777" w:rsidR="00EA5B1C" w:rsidRPr="00F57956" w:rsidRDefault="00EA5B1C" w:rsidP="00BF2AD7">
            <w:pPr>
              <w:pStyle w:val="NoSpacing"/>
              <w:rPr>
                <w:rFonts w:cstheme="minorHAnsi"/>
              </w:rPr>
            </w:pPr>
            <w:r w:rsidRPr="00F57956">
              <w:rPr>
                <w:rFonts w:cstheme="minorHAnsi"/>
              </w:rPr>
              <w:t>23.9% (+$164)</w:t>
            </w:r>
          </w:p>
        </w:tc>
      </w:tr>
      <w:tr w:rsidR="00EA5B1C" w:rsidRPr="00F57956" w14:paraId="5D999F0B" w14:textId="77777777" w:rsidTr="00A002C8">
        <w:tc>
          <w:tcPr>
            <w:tcW w:w="3114" w:type="dxa"/>
          </w:tcPr>
          <w:p w14:paraId="5EBA6318" w14:textId="2E31FB00" w:rsidR="00EA5B1C" w:rsidRPr="00F57956" w:rsidRDefault="00EA5B1C" w:rsidP="00EA5B1C">
            <w:pPr>
              <w:pStyle w:val="NoSpacing"/>
              <w:rPr>
                <w:rFonts w:cstheme="minorHAnsi"/>
              </w:rPr>
            </w:pPr>
            <w:r w:rsidRPr="00F57956">
              <w:rPr>
                <w:rFonts w:cstheme="minorHAnsi"/>
              </w:rPr>
              <w:t>Average</w:t>
            </w:r>
            <w:r>
              <w:rPr>
                <w:rFonts w:cstheme="minorHAnsi"/>
              </w:rPr>
              <w:t xml:space="preserve"> </w:t>
            </w:r>
            <w:r w:rsidRPr="00F57956">
              <w:rPr>
                <w:rFonts w:cstheme="minorHAnsi"/>
              </w:rPr>
              <w:t>$931,000</w:t>
            </w:r>
          </w:p>
        </w:tc>
        <w:tc>
          <w:tcPr>
            <w:tcW w:w="1701" w:type="dxa"/>
          </w:tcPr>
          <w:p w14:paraId="2F788B6D" w14:textId="73752152" w:rsidR="00EA5B1C" w:rsidRPr="00BC4320" w:rsidRDefault="004433B5" w:rsidP="00BF2AD7">
            <w:pPr>
              <w:pStyle w:val="NoSpacing"/>
              <w:rPr>
                <w:rFonts w:cstheme="minorHAnsi"/>
              </w:rPr>
            </w:pPr>
            <w:r w:rsidRPr="00F57956">
              <w:rPr>
                <w:rFonts w:cstheme="minorHAnsi"/>
              </w:rPr>
              <w:t xml:space="preserve">$1,243   </w:t>
            </w:r>
          </w:p>
        </w:tc>
        <w:tc>
          <w:tcPr>
            <w:tcW w:w="1984" w:type="dxa"/>
          </w:tcPr>
          <w:p w14:paraId="3E89AA2B" w14:textId="2C44DB70" w:rsidR="00EA5B1C" w:rsidRPr="00BC4320" w:rsidRDefault="008005A1" w:rsidP="00BF2AD7">
            <w:pPr>
              <w:pStyle w:val="NoSpacing"/>
              <w:rPr>
                <w:rFonts w:cstheme="minorHAnsi"/>
              </w:rPr>
            </w:pPr>
            <w:r w:rsidRPr="00F57956">
              <w:rPr>
                <w:rFonts w:cstheme="minorHAnsi"/>
              </w:rPr>
              <w:t xml:space="preserve">$1,139   </w:t>
            </w:r>
          </w:p>
        </w:tc>
        <w:tc>
          <w:tcPr>
            <w:tcW w:w="2694" w:type="dxa"/>
          </w:tcPr>
          <w:p w14:paraId="4251F7BB" w14:textId="77777777" w:rsidR="00EA5B1C" w:rsidRPr="00F57956" w:rsidRDefault="00EA5B1C" w:rsidP="00BF2AD7">
            <w:pPr>
              <w:pStyle w:val="NoSpacing"/>
              <w:rPr>
                <w:rFonts w:cstheme="minorHAnsi"/>
              </w:rPr>
            </w:pPr>
            <w:r w:rsidRPr="00F57956">
              <w:rPr>
                <w:rFonts w:cstheme="minorHAnsi"/>
              </w:rPr>
              <w:t>-8.4% (-$104)</w:t>
            </w:r>
          </w:p>
        </w:tc>
      </w:tr>
      <w:tr w:rsidR="00EA5B1C" w:rsidRPr="00F57956" w14:paraId="3610CE63" w14:textId="77777777" w:rsidTr="00A002C8">
        <w:tc>
          <w:tcPr>
            <w:tcW w:w="3114" w:type="dxa"/>
          </w:tcPr>
          <w:p w14:paraId="201AD41B" w14:textId="13CDD71E" w:rsidR="00EA5B1C" w:rsidRPr="00F57956" w:rsidRDefault="00EA5B1C" w:rsidP="00EA5B1C">
            <w:pPr>
              <w:pStyle w:val="NoSpacing"/>
              <w:rPr>
                <w:rFonts w:cstheme="minorHAnsi"/>
              </w:rPr>
            </w:pPr>
            <w:r w:rsidRPr="00F57956">
              <w:rPr>
                <w:rFonts w:cstheme="minorHAnsi"/>
              </w:rPr>
              <w:t>High</w:t>
            </w:r>
            <w:r>
              <w:rPr>
                <w:rFonts w:cstheme="minorHAnsi"/>
              </w:rPr>
              <w:t xml:space="preserve"> </w:t>
            </w:r>
            <w:r w:rsidRPr="00F57956">
              <w:rPr>
                <w:rFonts w:cstheme="minorHAnsi"/>
              </w:rPr>
              <w:t>$1,340,000</w:t>
            </w:r>
          </w:p>
        </w:tc>
        <w:tc>
          <w:tcPr>
            <w:tcW w:w="1701" w:type="dxa"/>
          </w:tcPr>
          <w:p w14:paraId="4047CD06" w14:textId="1F1AF0F2" w:rsidR="00EA5B1C" w:rsidRPr="00BC4320" w:rsidRDefault="002275E5" w:rsidP="00BF2AD7">
            <w:pPr>
              <w:pStyle w:val="NoSpacing"/>
              <w:rPr>
                <w:rFonts w:cstheme="minorHAnsi"/>
              </w:rPr>
            </w:pPr>
            <w:r w:rsidRPr="00F57956">
              <w:rPr>
                <w:rFonts w:cstheme="minorHAnsi"/>
              </w:rPr>
              <w:t>$1,</w:t>
            </w:r>
            <w:r w:rsidR="005F70DF">
              <w:rPr>
                <w:rFonts w:cstheme="minorHAnsi"/>
              </w:rPr>
              <w:t>788</w:t>
            </w:r>
            <w:r w:rsidRPr="00F57956">
              <w:rPr>
                <w:rFonts w:cstheme="minorHAnsi"/>
              </w:rPr>
              <w:t xml:space="preserve">   </w:t>
            </w:r>
          </w:p>
        </w:tc>
        <w:tc>
          <w:tcPr>
            <w:tcW w:w="1984" w:type="dxa"/>
          </w:tcPr>
          <w:p w14:paraId="1D914862" w14:textId="63B5FF31" w:rsidR="00EA5B1C" w:rsidRPr="00BC4320" w:rsidRDefault="00CF6B80" w:rsidP="00BF2AD7">
            <w:pPr>
              <w:pStyle w:val="NoSpacing"/>
              <w:rPr>
                <w:rFonts w:cstheme="minorHAnsi"/>
              </w:rPr>
            </w:pPr>
            <w:r w:rsidRPr="00F57956">
              <w:rPr>
                <w:rFonts w:cstheme="minorHAnsi"/>
              </w:rPr>
              <w:t xml:space="preserve">$1,636   </w:t>
            </w:r>
          </w:p>
        </w:tc>
        <w:tc>
          <w:tcPr>
            <w:tcW w:w="2694" w:type="dxa"/>
          </w:tcPr>
          <w:p w14:paraId="69928BF9" w14:textId="484CCACB" w:rsidR="00EA5B1C" w:rsidRPr="00F57956" w:rsidRDefault="00EA5B1C" w:rsidP="00BF2AD7">
            <w:pPr>
              <w:pStyle w:val="NoSpacing"/>
              <w:rPr>
                <w:rFonts w:cstheme="minorHAnsi"/>
              </w:rPr>
            </w:pPr>
            <w:r w:rsidRPr="00F57956">
              <w:rPr>
                <w:rFonts w:cstheme="minorHAnsi"/>
              </w:rPr>
              <w:t>-8.5% (-$</w:t>
            </w:r>
            <w:r w:rsidR="005F70DF">
              <w:rPr>
                <w:rFonts w:cstheme="minorHAnsi"/>
              </w:rPr>
              <w:t>152</w:t>
            </w:r>
            <w:r w:rsidRPr="00F57956">
              <w:rPr>
                <w:rFonts w:cstheme="minorHAnsi"/>
              </w:rPr>
              <w:t>)</w:t>
            </w:r>
          </w:p>
        </w:tc>
      </w:tr>
    </w:tbl>
    <w:p w14:paraId="3DCA7A44" w14:textId="77777777" w:rsidR="0093089C" w:rsidRPr="00F57956" w:rsidRDefault="0093089C" w:rsidP="0093089C">
      <w:pPr>
        <w:pStyle w:val="NoSpacing"/>
        <w:rPr>
          <w:rFonts w:cstheme="minorHAnsi"/>
        </w:rPr>
      </w:pPr>
    </w:p>
    <w:tbl>
      <w:tblPr>
        <w:tblStyle w:val="TableGrid"/>
        <w:tblW w:w="9493" w:type="dxa"/>
        <w:tblLook w:val="04A0" w:firstRow="1" w:lastRow="0" w:firstColumn="1" w:lastColumn="0" w:noHBand="0" w:noVBand="1"/>
      </w:tblPr>
      <w:tblGrid>
        <w:gridCol w:w="3114"/>
        <w:gridCol w:w="1701"/>
        <w:gridCol w:w="1984"/>
        <w:gridCol w:w="2694"/>
      </w:tblGrid>
      <w:tr w:rsidR="0093089C" w:rsidRPr="00F57956" w14:paraId="62DBE194" w14:textId="77777777" w:rsidTr="00A002C8">
        <w:tc>
          <w:tcPr>
            <w:tcW w:w="3114" w:type="dxa"/>
          </w:tcPr>
          <w:p w14:paraId="1BC1556D" w14:textId="6B1A5989" w:rsidR="0093089C" w:rsidRPr="00F57956" w:rsidRDefault="00DF61AF" w:rsidP="00BF2AD7">
            <w:pPr>
              <w:pStyle w:val="NoSpacing"/>
              <w:rPr>
                <w:rFonts w:cstheme="minorHAnsi"/>
                <w:b/>
                <w:bCs/>
              </w:rPr>
            </w:pPr>
            <w:r w:rsidRPr="00F57956">
              <w:rPr>
                <w:rFonts w:cstheme="minorHAnsi"/>
                <w:b/>
                <w:bCs/>
              </w:rPr>
              <w:t xml:space="preserve">Former </w:t>
            </w:r>
            <w:r>
              <w:rPr>
                <w:rFonts w:cstheme="minorHAnsi"/>
                <w:b/>
                <w:bCs/>
              </w:rPr>
              <w:t>Marrickville</w:t>
            </w:r>
            <w:r w:rsidRPr="00F57956">
              <w:rPr>
                <w:rFonts w:cstheme="minorHAnsi"/>
                <w:b/>
                <w:bCs/>
              </w:rPr>
              <w:t xml:space="preserve"> Council area land value </w:t>
            </w:r>
            <w:r w:rsidRPr="00F57956">
              <w:rPr>
                <w:rFonts w:cstheme="minorHAnsi"/>
              </w:rPr>
              <w:t>(unimproved*)</w:t>
            </w:r>
          </w:p>
        </w:tc>
        <w:tc>
          <w:tcPr>
            <w:tcW w:w="1701" w:type="dxa"/>
          </w:tcPr>
          <w:p w14:paraId="62F6FE74" w14:textId="77777777" w:rsidR="0093089C" w:rsidRPr="00F57956" w:rsidRDefault="0093089C" w:rsidP="00BF2AD7">
            <w:pPr>
              <w:pStyle w:val="NoSpacing"/>
              <w:rPr>
                <w:rFonts w:cstheme="minorHAnsi"/>
              </w:rPr>
            </w:pPr>
            <w:r w:rsidRPr="00F57956">
              <w:rPr>
                <w:rFonts w:cstheme="minorHAnsi"/>
              </w:rPr>
              <w:t>2020/21 Rates</w:t>
            </w:r>
          </w:p>
        </w:tc>
        <w:tc>
          <w:tcPr>
            <w:tcW w:w="1984" w:type="dxa"/>
          </w:tcPr>
          <w:p w14:paraId="388C8966" w14:textId="77777777" w:rsidR="0093089C" w:rsidRPr="00F57956" w:rsidRDefault="0093089C" w:rsidP="00BF2AD7">
            <w:pPr>
              <w:pStyle w:val="NoSpacing"/>
              <w:rPr>
                <w:rFonts w:cstheme="minorHAnsi"/>
              </w:rPr>
            </w:pPr>
            <w:r w:rsidRPr="00F57956">
              <w:rPr>
                <w:rFonts w:cstheme="minorHAnsi"/>
              </w:rPr>
              <w:t>2021/22 Rates</w:t>
            </w:r>
          </w:p>
          <w:p w14:paraId="027FDF0E" w14:textId="77777777" w:rsidR="0093089C" w:rsidRPr="00F57956" w:rsidRDefault="0093089C" w:rsidP="00BF2AD7">
            <w:pPr>
              <w:pStyle w:val="NoSpacing"/>
              <w:rPr>
                <w:rFonts w:cstheme="minorHAnsi"/>
                <w:sz w:val="20"/>
                <w:szCs w:val="20"/>
              </w:rPr>
            </w:pPr>
            <w:r w:rsidRPr="00F57956">
              <w:rPr>
                <w:rFonts w:cstheme="minorHAnsi"/>
                <w:sz w:val="20"/>
                <w:szCs w:val="20"/>
              </w:rPr>
              <w:t>(New rating structure)</w:t>
            </w:r>
          </w:p>
        </w:tc>
        <w:tc>
          <w:tcPr>
            <w:tcW w:w="2694" w:type="dxa"/>
          </w:tcPr>
          <w:p w14:paraId="7E9CDD1F" w14:textId="64DAACC7" w:rsidR="0093089C" w:rsidRPr="00F57956" w:rsidRDefault="00E904D1" w:rsidP="00BF2AD7">
            <w:pPr>
              <w:pStyle w:val="NoSpacing"/>
              <w:rPr>
                <w:rFonts w:cstheme="minorHAnsi"/>
              </w:rPr>
            </w:pPr>
            <w:r w:rsidRPr="00F57956">
              <w:rPr>
                <w:rFonts w:cstheme="minorHAnsi"/>
              </w:rPr>
              <w:t xml:space="preserve">% </w:t>
            </w:r>
            <w:r>
              <w:rPr>
                <w:rFonts w:cstheme="minorHAnsi"/>
              </w:rPr>
              <w:t xml:space="preserve">and $ </w:t>
            </w:r>
            <w:r w:rsidR="0093089C" w:rsidRPr="00F57956">
              <w:rPr>
                <w:rFonts w:cstheme="minorHAnsi"/>
              </w:rPr>
              <w:t>impact</w:t>
            </w:r>
            <w:r w:rsidR="00DF61AF">
              <w:rPr>
                <w:rFonts w:cstheme="minorHAnsi"/>
              </w:rPr>
              <w:t>/</w:t>
            </w:r>
            <w:r w:rsidR="0093089C" w:rsidRPr="00F57956">
              <w:rPr>
                <w:rFonts w:cstheme="minorHAnsi"/>
              </w:rPr>
              <w:t>change</w:t>
            </w:r>
          </w:p>
        </w:tc>
      </w:tr>
      <w:tr w:rsidR="00EA5B1C" w:rsidRPr="00F57956" w14:paraId="4BD88D78" w14:textId="77777777" w:rsidTr="00A002C8">
        <w:trPr>
          <w:cantSplit/>
        </w:trPr>
        <w:tc>
          <w:tcPr>
            <w:tcW w:w="3114" w:type="dxa"/>
          </w:tcPr>
          <w:p w14:paraId="7D7CF668" w14:textId="7EA7B4E6" w:rsidR="00EA5B1C" w:rsidRPr="00F57956" w:rsidRDefault="00EA5B1C" w:rsidP="00EA5B1C">
            <w:pPr>
              <w:pStyle w:val="NoSpacing"/>
              <w:rPr>
                <w:rFonts w:cstheme="minorHAnsi"/>
              </w:rPr>
            </w:pPr>
            <w:r w:rsidRPr="00F57956">
              <w:rPr>
                <w:rFonts w:cstheme="minorHAnsi"/>
              </w:rPr>
              <w:t>Low</w:t>
            </w:r>
            <w:r>
              <w:rPr>
                <w:rFonts w:cstheme="minorHAnsi"/>
              </w:rPr>
              <w:t xml:space="preserve"> </w:t>
            </w:r>
            <w:r w:rsidRPr="00F57956">
              <w:rPr>
                <w:rFonts w:cstheme="minorHAnsi"/>
              </w:rPr>
              <w:t>$233,272</w:t>
            </w:r>
          </w:p>
        </w:tc>
        <w:tc>
          <w:tcPr>
            <w:tcW w:w="1701" w:type="dxa"/>
          </w:tcPr>
          <w:p w14:paraId="3E05F57C" w14:textId="77777777" w:rsidR="00EA5B1C" w:rsidRPr="00F57956" w:rsidRDefault="00EA5B1C" w:rsidP="00BF2AD7">
            <w:pPr>
              <w:pStyle w:val="NoSpacing"/>
              <w:rPr>
                <w:rFonts w:cstheme="minorHAnsi"/>
              </w:rPr>
            </w:pPr>
            <w:r w:rsidRPr="00F57956">
              <w:rPr>
                <w:rFonts w:cstheme="minorHAnsi"/>
              </w:rPr>
              <w:t>$710</w:t>
            </w:r>
          </w:p>
        </w:tc>
        <w:tc>
          <w:tcPr>
            <w:tcW w:w="1984" w:type="dxa"/>
          </w:tcPr>
          <w:p w14:paraId="05A759B6" w14:textId="77777777" w:rsidR="00EA5B1C" w:rsidRPr="00F57956" w:rsidRDefault="00EA5B1C" w:rsidP="00BF2AD7">
            <w:pPr>
              <w:pStyle w:val="NoSpacing"/>
              <w:rPr>
                <w:rFonts w:cstheme="minorHAnsi"/>
              </w:rPr>
            </w:pPr>
            <w:r w:rsidRPr="00F57956">
              <w:rPr>
                <w:rFonts w:cstheme="minorHAnsi"/>
              </w:rPr>
              <w:t>$850</w:t>
            </w:r>
          </w:p>
        </w:tc>
        <w:tc>
          <w:tcPr>
            <w:tcW w:w="2694" w:type="dxa"/>
          </w:tcPr>
          <w:p w14:paraId="00294F6C" w14:textId="77777777" w:rsidR="00EA5B1C" w:rsidRPr="00F57956" w:rsidRDefault="00EA5B1C" w:rsidP="00BF2AD7">
            <w:pPr>
              <w:pStyle w:val="NoSpacing"/>
              <w:rPr>
                <w:rFonts w:cstheme="minorHAnsi"/>
              </w:rPr>
            </w:pPr>
            <w:r w:rsidRPr="00F57956">
              <w:rPr>
                <w:rFonts w:cstheme="minorHAnsi"/>
              </w:rPr>
              <w:t>19.7% (+$140)</w:t>
            </w:r>
          </w:p>
        </w:tc>
      </w:tr>
      <w:tr w:rsidR="00EA5B1C" w:rsidRPr="00F57956" w14:paraId="72E27CE0" w14:textId="77777777" w:rsidTr="00A002C8">
        <w:tc>
          <w:tcPr>
            <w:tcW w:w="3114" w:type="dxa"/>
          </w:tcPr>
          <w:p w14:paraId="27F20530" w14:textId="6E3BF896" w:rsidR="00EA5B1C" w:rsidRPr="00F57956" w:rsidRDefault="00EA5B1C" w:rsidP="00EA5B1C">
            <w:pPr>
              <w:pStyle w:val="NoSpacing"/>
              <w:rPr>
                <w:rFonts w:cstheme="minorHAnsi"/>
              </w:rPr>
            </w:pPr>
            <w:r w:rsidRPr="00F57956">
              <w:rPr>
                <w:rFonts w:cstheme="minorHAnsi"/>
              </w:rPr>
              <w:t>Average</w:t>
            </w:r>
            <w:r>
              <w:rPr>
                <w:rFonts w:cstheme="minorHAnsi"/>
              </w:rPr>
              <w:t xml:space="preserve"> </w:t>
            </w:r>
            <w:r w:rsidRPr="00F57956">
              <w:rPr>
                <w:rFonts w:cstheme="minorHAnsi"/>
              </w:rPr>
              <w:t>$741,000</w:t>
            </w:r>
          </w:p>
        </w:tc>
        <w:tc>
          <w:tcPr>
            <w:tcW w:w="1701" w:type="dxa"/>
          </w:tcPr>
          <w:p w14:paraId="0ABDC906" w14:textId="1F58E263" w:rsidR="00EA5B1C" w:rsidRPr="00BC4320" w:rsidRDefault="00156BE7" w:rsidP="00BF2AD7">
            <w:pPr>
              <w:pStyle w:val="NoSpacing"/>
              <w:rPr>
                <w:rFonts w:cstheme="minorHAnsi"/>
              </w:rPr>
            </w:pPr>
            <w:r w:rsidRPr="00F57956">
              <w:rPr>
                <w:rFonts w:cstheme="minorHAnsi"/>
              </w:rPr>
              <w:t>$765</w:t>
            </w:r>
          </w:p>
        </w:tc>
        <w:tc>
          <w:tcPr>
            <w:tcW w:w="1984" w:type="dxa"/>
          </w:tcPr>
          <w:p w14:paraId="2DD5A2B4" w14:textId="64961CAD" w:rsidR="00EA5B1C" w:rsidRPr="00BC4320" w:rsidRDefault="00EA5B1C" w:rsidP="00BF2AD7">
            <w:pPr>
              <w:pStyle w:val="NoSpacing"/>
              <w:rPr>
                <w:rFonts w:cstheme="minorHAnsi"/>
              </w:rPr>
            </w:pPr>
            <w:r w:rsidRPr="00BC4320">
              <w:rPr>
                <w:rFonts w:cstheme="minorHAnsi"/>
              </w:rPr>
              <w:t>$9</w:t>
            </w:r>
            <w:r w:rsidR="004B0986">
              <w:rPr>
                <w:rFonts w:cstheme="minorHAnsi"/>
              </w:rPr>
              <w:t>08</w:t>
            </w:r>
          </w:p>
        </w:tc>
        <w:tc>
          <w:tcPr>
            <w:tcW w:w="2694" w:type="dxa"/>
          </w:tcPr>
          <w:p w14:paraId="77CF9DB7" w14:textId="344E23FC" w:rsidR="00EA5B1C" w:rsidRPr="00F57956" w:rsidRDefault="00EA5B1C" w:rsidP="00BF2AD7">
            <w:pPr>
              <w:pStyle w:val="NoSpacing"/>
              <w:rPr>
                <w:rFonts w:cstheme="minorHAnsi"/>
              </w:rPr>
            </w:pPr>
            <w:r w:rsidRPr="00F57956">
              <w:rPr>
                <w:rFonts w:cstheme="minorHAnsi"/>
              </w:rPr>
              <w:t>18.7% (+$14</w:t>
            </w:r>
            <w:r w:rsidR="00B13B57">
              <w:rPr>
                <w:rFonts w:cstheme="minorHAnsi"/>
              </w:rPr>
              <w:t>3</w:t>
            </w:r>
            <w:r w:rsidRPr="00F57956">
              <w:rPr>
                <w:rFonts w:cstheme="minorHAnsi"/>
              </w:rPr>
              <w:t>)</w:t>
            </w:r>
          </w:p>
        </w:tc>
      </w:tr>
      <w:tr w:rsidR="00EA5B1C" w:rsidRPr="00F57956" w14:paraId="75952FB7" w14:textId="77777777" w:rsidTr="00A002C8">
        <w:tc>
          <w:tcPr>
            <w:tcW w:w="3114" w:type="dxa"/>
          </w:tcPr>
          <w:p w14:paraId="4D80BBBA" w14:textId="118FF266" w:rsidR="00EA5B1C" w:rsidRPr="00F57956" w:rsidRDefault="00EA5B1C" w:rsidP="00EA5B1C">
            <w:pPr>
              <w:pStyle w:val="NoSpacing"/>
              <w:rPr>
                <w:rFonts w:cstheme="minorHAnsi"/>
              </w:rPr>
            </w:pPr>
            <w:r w:rsidRPr="00F57956">
              <w:rPr>
                <w:rFonts w:cstheme="minorHAnsi"/>
              </w:rPr>
              <w:t>High</w:t>
            </w:r>
            <w:r>
              <w:rPr>
                <w:rFonts w:cstheme="minorHAnsi"/>
              </w:rPr>
              <w:t xml:space="preserve"> </w:t>
            </w:r>
            <w:r w:rsidRPr="00F57956">
              <w:rPr>
                <w:rFonts w:cstheme="minorHAnsi"/>
              </w:rPr>
              <w:t>$1,</w:t>
            </w:r>
            <w:r w:rsidR="00B13B57">
              <w:rPr>
                <w:rFonts w:cstheme="minorHAnsi"/>
              </w:rPr>
              <w:t>070</w:t>
            </w:r>
            <w:r w:rsidRPr="00F57956">
              <w:rPr>
                <w:rFonts w:cstheme="minorHAnsi"/>
              </w:rPr>
              <w:t>,000</w:t>
            </w:r>
          </w:p>
        </w:tc>
        <w:tc>
          <w:tcPr>
            <w:tcW w:w="1701" w:type="dxa"/>
          </w:tcPr>
          <w:p w14:paraId="5EAE9D52" w14:textId="085F80B8" w:rsidR="00EA5B1C" w:rsidRPr="00BC4320" w:rsidRDefault="008062A1" w:rsidP="00BF2AD7">
            <w:pPr>
              <w:pStyle w:val="NoSpacing"/>
              <w:rPr>
                <w:rFonts w:cstheme="minorHAnsi"/>
              </w:rPr>
            </w:pPr>
            <w:r w:rsidRPr="00F57956">
              <w:rPr>
                <w:rFonts w:cstheme="minorHAnsi"/>
              </w:rPr>
              <w:t xml:space="preserve">$1,110    </w:t>
            </w:r>
          </w:p>
        </w:tc>
        <w:tc>
          <w:tcPr>
            <w:tcW w:w="1984" w:type="dxa"/>
          </w:tcPr>
          <w:p w14:paraId="6BD628F4" w14:textId="3FDE970D" w:rsidR="00EA5B1C" w:rsidRPr="00BC4320" w:rsidRDefault="0018085C" w:rsidP="00BF2AD7">
            <w:pPr>
              <w:pStyle w:val="NoSpacing"/>
              <w:rPr>
                <w:rFonts w:cstheme="minorHAnsi"/>
              </w:rPr>
            </w:pPr>
            <w:r w:rsidRPr="00F57956">
              <w:rPr>
                <w:rFonts w:cstheme="minorHAnsi"/>
              </w:rPr>
              <w:t xml:space="preserve">$1,316   </w:t>
            </w:r>
          </w:p>
        </w:tc>
        <w:tc>
          <w:tcPr>
            <w:tcW w:w="2694" w:type="dxa"/>
          </w:tcPr>
          <w:p w14:paraId="11EE1480" w14:textId="77777777" w:rsidR="00EA5B1C" w:rsidRPr="00F57956" w:rsidRDefault="00EA5B1C" w:rsidP="00BF2AD7">
            <w:pPr>
              <w:pStyle w:val="NoSpacing"/>
              <w:rPr>
                <w:rFonts w:cstheme="minorHAnsi"/>
              </w:rPr>
            </w:pPr>
            <w:r w:rsidRPr="00F57956">
              <w:rPr>
                <w:rFonts w:cstheme="minorHAnsi"/>
              </w:rPr>
              <w:t>18.6% (+$206)</w:t>
            </w:r>
          </w:p>
        </w:tc>
      </w:tr>
    </w:tbl>
    <w:p w14:paraId="7C40B5F2" w14:textId="77777777" w:rsidR="0093089C" w:rsidRPr="00F57956" w:rsidRDefault="0093089C" w:rsidP="0093089C">
      <w:pPr>
        <w:pStyle w:val="NoSpacing"/>
        <w:rPr>
          <w:rFonts w:cs="Calibri"/>
          <w:color w:val="202124"/>
        </w:rPr>
      </w:pPr>
      <w:r w:rsidRPr="00F57956">
        <w:rPr>
          <w:rFonts w:cs="Calibri"/>
        </w:rPr>
        <w:t xml:space="preserve">*The Valuer General uses unimproved land value. This means </w:t>
      </w:r>
      <w:r w:rsidRPr="00F57956">
        <w:rPr>
          <w:rFonts w:cs="Calibri"/>
          <w:color w:val="202124"/>
        </w:rPr>
        <w:t>what a block of land is deemed worth without any buildings or structures on it.</w:t>
      </w:r>
    </w:p>
    <w:p w14:paraId="2B5023B7" w14:textId="4E49D57E" w:rsidR="0093089C" w:rsidRDefault="0093089C" w:rsidP="0093089C">
      <w:pPr>
        <w:pStyle w:val="NoSpacing"/>
        <w:rPr>
          <w:rFonts w:cs="Calibri"/>
          <w:color w:val="202124"/>
        </w:rPr>
      </w:pPr>
      <w:r w:rsidRPr="00F57956">
        <w:rPr>
          <w:rFonts w:cs="Calibri"/>
          <w:color w:val="202124"/>
        </w:rPr>
        <w:t>Note - Low is the 20</w:t>
      </w:r>
      <w:r w:rsidRPr="00F57956">
        <w:rPr>
          <w:rFonts w:cs="Calibri"/>
          <w:color w:val="202124"/>
          <w:vertAlign w:val="superscript"/>
        </w:rPr>
        <w:t>th</w:t>
      </w:r>
      <w:r w:rsidRPr="00F57956">
        <w:rPr>
          <w:rFonts w:cs="Calibri"/>
          <w:color w:val="202124"/>
        </w:rPr>
        <w:t xml:space="preserve"> percentile, Average is the 50</w:t>
      </w:r>
      <w:r w:rsidRPr="00F57956">
        <w:rPr>
          <w:rFonts w:cs="Calibri"/>
          <w:color w:val="202124"/>
          <w:vertAlign w:val="superscript"/>
        </w:rPr>
        <w:t>th</w:t>
      </w:r>
      <w:r w:rsidRPr="00F57956">
        <w:rPr>
          <w:rFonts w:cs="Calibri"/>
          <w:color w:val="202124"/>
        </w:rPr>
        <w:t xml:space="preserve"> percentile, High is the </w:t>
      </w:r>
      <w:r w:rsidR="004C0633">
        <w:rPr>
          <w:rFonts w:cs="Calibri"/>
          <w:color w:val="202124"/>
        </w:rPr>
        <w:t>8</w:t>
      </w:r>
      <w:r w:rsidRPr="00F57956">
        <w:rPr>
          <w:rFonts w:cs="Calibri"/>
          <w:color w:val="202124"/>
        </w:rPr>
        <w:t>0</w:t>
      </w:r>
      <w:r w:rsidRPr="00F57956">
        <w:rPr>
          <w:rFonts w:cs="Calibri"/>
          <w:color w:val="202124"/>
          <w:vertAlign w:val="superscript"/>
        </w:rPr>
        <w:t>th</w:t>
      </w:r>
      <w:r w:rsidRPr="00F57956">
        <w:rPr>
          <w:rFonts w:cs="Calibri"/>
          <w:color w:val="202124"/>
        </w:rPr>
        <w:t xml:space="preserve"> percentile.</w:t>
      </w:r>
    </w:p>
    <w:p w14:paraId="054EFFB1" w14:textId="77777777" w:rsidR="00190B39" w:rsidRPr="00190B39" w:rsidRDefault="00190B39" w:rsidP="00190B39"/>
    <w:p w14:paraId="50FB7C4E" w14:textId="1665B3DB" w:rsidR="00B01D53" w:rsidRPr="00B01D53" w:rsidRDefault="0093089C" w:rsidP="00B01D53">
      <w:pPr>
        <w:pStyle w:val="Heading3"/>
      </w:pPr>
      <w:r w:rsidRPr="00F57956">
        <w:t>Business ratepayers</w:t>
      </w:r>
    </w:p>
    <w:p w14:paraId="48579844" w14:textId="16F24AA2" w:rsidR="00E16DA5" w:rsidRDefault="00E16DA5" w:rsidP="00E16DA5">
      <w:pPr>
        <w:pStyle w:val="NoSpacing"/>
        <w:rPr>
          <w:rFonts w:ascii="Calibri" w:hAnsi="Calibri"/>
          <w:b/>
          <w:bCs/>
          <w:color w:val="202124"/>
        </w:rPr>
      </w:pPr>
    </w:p>
    <w:tbl>
      <w:tblPr>
        <w:tblStyle w:val="TableGrid"/>
        <w:tblW w:w="9488" w:type="dxa"/>
        <w:tblLook w:val="04A0" w:firstRow="1" w:lastRow="0" w:firstColumn="1" w:lastColumn="0" w:noHBand="0" w:noVBand="1"/>
      </w:tblPr>
      <w:tblGrid>
        <w:gridCol w:w="3602"/>
        <w:gridCol w:w="1633"/>
        <w:gridCol w:w="1843"/>
        <w:gridCol w:w="2410"/>
      </w:tblGrid>
      <w:tr w:rsidR="00E16DA5" w14:paraId="1A233CE9" w14:textId="77777777" w:rsidTr="00965704">
        <w:tc>
          <w:tcPr>
            <w:tcW w:w="3602" w:type="dxa"/>
            <w:hideMark/>
          </w:tcPr>
          <w:p w14:paraId="63794623" w14:textId="77777777" w:rsidR="00E16DA5" w:rsidRDefault="00E16DA5">
            <w:pPr>
              <w:pStyle w:val="NoSpacing"/>
              <w:rPr>
                <w:b/>
                <w:bCs/>
              </w:rPr>
            </w:pPr>
            <w:r>
              <w:rPr>
                <w:b/>
                <w:bCs/>
              </w:rPr>
              <w:t xml:space="preserve">Former Ashfield Council area </w:t>
            </w:r>
            <w:r>
              <w:rPr>
                <w:b/>
                <w:bCs/>
              </w:rPr>
              <w:br/>
              <w:t xml:space="preserve">land value </w:t>
            </w:r>
            <w:r>
              <w:t>(unimproved*)</w:t>
            </w:r>
          </w:p>
        </w:tc>
        <w:tc>
          <w:tcPr>
            <w:tcW w:w="1633" w:type="dxa"/>
            <w:hideMark/>
          </w:tcPr>
          <w:p w14:paraId="22879DDA" w14:textId="77777777" w:rsidR="00A95DE4" w:rsidRDefault="00E16DA5">
            <w:pPr>
              <w:pStyle w:val="NoSpacing"/>
            </w:pPr>
            <w:r>
              <w:t xml:space="preserve">2020/21 </w:t>
            </w:r>
          </w:p>
          <w:p w14:paraId="3E8499F6" w14:textId="7E767C33" w:rsidR="00E16DA5" w:rsidRDefault="00E16DA5">
            <w:pPr>
              <w:pStyle w:val="NoSpacing"/>
            </w:pPr>
            <w:r>
              <w:t>Rates</w:t>
            </w:r>
          </w:p>
        </w:tc>
        <w:tc>
          <w:tcPr>
            <w:tcW w:w="1843" w:type="dxa"/>
            <w:hideMark/>
          </w:tcPr>
          <w:p w14:paraId="001345C4" w14:textId="77777777" w:rsidR="00E16DA5" w:rsidRDefault="00E16DA5">
            <w:pPr>
              <w:pStyle w:val="NoSpacing"/>
            </w:pPr>
            <w:r>
              <w:t>2021/22 Rates</w:t>
            </w:r>
          </w:p>
          <w:p w14:paraId="7E682A0B" w14:textId="77777777" w:rsidR="00E16DA5" w:rsidRDefault="00E16DA5">
            <w:pPr>
              <w:pStyle w:val="NoSpacing"/>
              <w:rPr>
                <w:sz w:val="20"/>
                <w:szCs w:val="20"/>
              </w:rPr>
            </w:pPr>
            <w:r>
              <w:rPr>
                <w:sz w:val="20"/>
                <w:szCs w:val="20"/>
              </w:rPr>
              <w:t>(New rating structure)</w:t>
            </w:r>
          </w:p>
        </w:tc>
        <w:tc>
          <w:tcPr>
            <w:tcW w:w="2410" w:type="dxa"/>
            <w:hideMark/>
          </w:tcPr>
          <w:p w14:paraId="7D21F0E3" w14:textId="534EAFEB" w:rsidR="00E16DA5" w:rsidRDefault="00766335">
            <w:pPr>
              <w:pStyle w:val="NoSpacing"/>
            </w:pPr>
            <w:r w:rsidRPr="00F57956">
              <w:rPr>
                <w:rFonts w:cstheme="minorHAnsi"/>
              </w:rPr>
              <w:t xml:space="preserve">% </w:t>
            </w:r>
            <w:r>
              <w:rPr>
                <w:rFonts w:cstheme="minorHAnsi"/>
              </w:rPr>
              <w:t xml:space="preserve">and $ </w:t>
            </w:r>
            <w:r w:rsidRPr="00F57956">
              <w:rPr>
                <w:rFonts w:cstheme="minorHAnsi"/>
              </w:rPr>
              <w:t>impact</w:t>
            </w:r>
            <w:r>
              <w:rPr>
                <w:rFonts w:cstheme="minorHAnsi"/>
              </w:rPr>
              <w:t>/</w:t>
            </w:r>
            <w:r w:rsidRPr="00F57956">
              <w:rPr>
                <w:rFonts w:cstheme="minorHAnsi"/>
              </w:rPr>
              <w:t>change</w:t>
            </w:r>
          </w:p>
        </w:tc>
      </w:tr>
      <w:tr w:rsidR="00AE0C7F" w14:paraId="2035F0EB" w14:textId="77777777" w:rsidTr="00965704">
        <w:tc>
          <w:tcPr>
            <w:tcW w:w="3602" w:type="dxa"/>
            <w:hideMark/>
          </w:tcPr>
          <w:p w14:paraId="5E3485FA" w14:textId="0EBE5C83" w:rsidR="00AE0C7F" w:rsidRDefault="00AE0C7F" w:rsidP="00AE0C7F">
            <w:pPr>
              <w:pStyle w:val="NoSpacing"/>
              <w:rPr>
                <w:color w:val="000000"/>
              </w:rPr>
            </w:pPr>
            <w:r>
              <w:t xml:space="preserve">Low </w:t>
            </w:r>
            <w:r>
              <w:rPr>
                <w:color w:val="000000"/>
              </w:rPr>
              <w:t>$240,960</w:t>
            </w:r>
          </w:p>
        </w:tc>
        <w:tc>
          <w:tcPr>
            <w:tcW w:w="1633" w:type="dxa"/>
            <w:hideMark/>
          </w:tcPr>
          <w:p w14:paraId="2004BB23" w14:textId="77777777" w:rsidR="00AE0C7F" w:rsidRDefault="00AE0C7F">
            <w:pPr>
              <w:pStyle w:val="NoSpacing"/>
              <w:rPr>
                <w:color w:val="000000"/>
              </w:rPr>
            </w:pPr>
            <w:r>
              <w:rPr>
                <w:color w:val="000000"/>
              </w:rPr>
              <w:t>$902</w:t>
            </w:r>
          </w:p>
        </w:tc>
        <w:tc>
          <w:tcPr>
            <w:tcW w:w="1843" w:type="dxa"/>
            <w:hideMark/>
          </w:tcPr>
          <w:p w14:paraId="708BF618" w14:textId="58740103" w:rsidR="00AE0C7F" w:rsidRDefault="00AE0C7F">
            <w:pPr>
              <w:pStyle w:val="NoSpacing"/>
              <w:rPr>
                <w:color w:val="000000"/>
              </w:rPr>
            </w:pPr>
            <w:r>
              <w:rPr>
                <w:color w:val="000000"/>
              </w:rPr>
              <w:t>$955</w:t>
            </w:r>
          </w:p>
        </w:tc>
        <w:tc>
          <w:tcPr>
            <w:tcW w:w="2410" w:type="dxa"/>
            <w:hideMark/>
          </w:tcPr>
          <w:p w14:paraId="446CE264" w14:textId="2BDD571B" w:rsidR="00AE0C7F" w:rsidRDefault="00AE0C7F">
            <w:pPr>
              <w:pStyle w:val="NoSpacing"/>
              <w:rPr>
                <w:color w:val="FF0000"/>
              </w:rPr>
            </w:pPr>
            <w:r>
              <w:rPr>
                <w:color w:val="000000"/>
              </w:rPr>
              <w:t>5.9% (+$53)</w:t>
            </w:r>
          </w:p>
        </w:tc>
      </w:tr>
      <w:tr w:rsidR="00AE0C7F" w14:paraId="7D60EDFC" w14:textId="77777777" w:rsidTr="00965704">
        <w:tc>
          <w:tcPr>
            <w:tcW w:w="3602" w:type="dxa"/>
            <w:hideMark/>
          </w:tcPr>
          <w:p w14:paraId="4853008B" w14:textId="2F1697A9" w:rsidR="00AE0C7F" w:rsidRDefault="00AE0C7F" w:rsidP="00AE0C7F">
            <w:pPr>
              <w:pStyle w:val="NoSpacing"/>
              <w:rPr>
                <w:color w:val="000000"/>
              </w:rPr>
            </w:pPr>
            <w:r>
              <w:t xml:space="preserve">Average </w:t>
            </w:r>
            <w:r>
              <w:rPr>
                <w:color w:val="000000"/>
              </w:rPr>
              <w:t>$878,500</w:t>
            </w:r>
          </w:p>
        </w:tc>
        <w:tc>
          <w:tcPr>
            <w:tcW w:w="1633" w:type="dxa"/>
            <w:hideMark/>
          </w:tcPr>
          <w:p w14:paraId="3348A678" w14:textId="77777777" w:rsidR="00AE0C7F" w:rsidRDefault="00AE0C7F">
            <w:pPr>
              <w:pStyle w:val="NoSpacing"/>
              <w:rPr>
                <w:color w:val="000000"/>
              </w:rPr>
            </w:pPr>
            <w:r>
              <w:rPr>
                <w:color w:val="000000"/>
              </w:rPr>
              <w:t>$3,055</w:t>
            </w:r>
          </w:p>
        </w:tc>
        <w:tc>
          <w:tcPr>
            <w:tcW w:w="1843" w:type="dxa"/>
            <w:hideMark/>
          </w:tcPr>
          <w:p w14:paraId="0527187F" w14:textId="77777777" w:rsidR="00AE0C7F" w:rsidRDefault="00AE0C7F">
            <w:pPr>
              <w:pStyle w:val="NoSpacing"/>
              <w:rPr>
                <w:color w:val="000000"/>
              </w:rPr>
            </w:pPr>
            <w:r>
              <w:rPr>
                <w:color w:val="000000"/>
              </w:rPr>
              <w:t>$3,256</w:t>
            </w:r>
          </w:p>
        </w:tc>
        <w:tc>
          <w:tcPr>
            <w:tcW w:w="2410" w:type="dxa"/>
            <w:hideMark/>
          </w:tcPr>
          <w:p w14:paraId="47E37DE1" w14:textId="65636213" w:rsidR="00AE0C7F" w:rsidRDefault="00AE0C7F">
            <w:pPr>
              <w:pStyle w:val="NoSpacing"/>
              <w:rPr>
                <w:color w:val="000000"/>
              </w:rPr>
            </w:pPr>
            <w:r>
              <w:rPr>
                <w:color w:val="000000"/>
              </w:rPr>
              <w:t>6.6% (+$201)</w:t>
            </w:r>
          </w:p>
        </w:tc>
      </w:tr>
      <w:tr w:rsidR="00AE0C7F" w14:paraId="1C6B557E" w14:textId="77777777" w:rsidTr="00965704">
        <w:tc>
          <w:tcPr>
            <w:tcW w:w="3602" w:type="dxa"/>
            <w:hideMark/>
          </w:tcPr>
          <w:p w14:paraId="5A2F1198" w14:textId="0DFDEE7E" w:rsidR="00AE0C7F" w:rsidRDefault="00AE0C7F" w:rsidP="00AE0C7F">
            <w:pPr>
              <w:pStyle w:val="NoSpacing"/>
              <w:rPr>
                <w:color w:val="000000"/>
              </w:rPr>
            </w:pPr>
            <w:r>
              <w:t xml:space="preserve">High </w:t>
            </w:r>
            <w:r>
              <w:rPr>
                <w:color w:val="000000"/>
              </w:rPr>
              <w:t>$3,416,000</w:t>
            </w:r>
          </w:p>
        </w:tc>
        <w:tc>
          <w:tcPr>
            <w:tcW w:w="1633" w:type="dxa"/>
            <w:hideMark/>
          </w:tcPr>
          <w:p w14:paraId="5AC2DE2B" w14:textId="77777777" w:rsidR="00AE0C7F" w:rsidRDefault="00AE0C7F">
            <w:pPr>
              <w:pStyle w:val="NoSpacing"/>
              <w:rPr>
                <w:color w:val="000000"/>
              </w:rPr>
            </w:pPr>
            <w:r>
              <w:rPr>
                <w:color w:val="000000"/>
              </w:rPr>
              <w:t>$12,817</w:t>
            </w:r>
          </w:p>
        </w:tc>
        <w:tc>
          <w:tcPr>
            <w:tcW w:w="1843" w:type="dxa"/>
            <w:hideMark/>
          </w:tcPr>
          <w:p w14:paraId="00D1EB52" w14:textId="77777777" w:rsidR="00AE0C7F" w:rsidRDefault="00AE0C7F">
            <w:pPr>
              <w:pStyle w:val="NoSpacing"/>
              <w:rPr>
                <w:color w:val="000000"/>
              </w:rPr>
            </w:pPr>
            <w:r>
              <w:rPr>
                <w:color w:val="000000"/>
              </w:rPr>
              <w:t>$13,680</w:t>
            </w:r>
          </w:p>
        </w:tc>
        <w:tc>
          <w:tcPr>
            <w:tcW w:w="2410" w:type="dxa"/>
            <w:hideMark/>
          </w:tcPr>
          <w:p w14:paraId="103D5826" w14:textId="30B666BE" w:rsidR="00AE0C7F" w:rsidRDefault="00AE0C7F">
            <w:pPr>
              <w:pStyle w:val="NoSpacing"/>
              <w:rPr>
                <w:color w:val="000000"/>
              </w:rPr>
            </w:pPr>
            <w:r>
              <w:rPr>
                <w:color w:val="000000"/>
              </w:rPr>
              <w:t>6.7% (+$863)</w:t>
            </w:r>
          </w:p>
        </w:tc>
      </w:tr>
    </w:tbl>
    <w:p w14:paraId="5CBB7DC7" w14:textId="77777777" w:rsidR="00E16DA5" w:rsidRDefault="00E16DA5" w:rsidP="00E16DA5">
      <w:pPr>
        <w:pStyle w:val="NoSpacing"/>
        <w:rPr>
          <w:rFonts w:ascii="Calibri" w:hAnsi="Calibri" w:cs="Calibri"/>
        </w:rPr>
      </w:pPr>
    </w:p>
    <w:tbl>
      <w:tblPr>
        <w:tblStyle w:val="TableGrid"/>
        <w:tblW w:w="9488" w:type="dxa"/>
        <w:tblLook w:val="04A0" w:firstRow="1" w:lastRow="0" w:firstColumn="1" w:lastColumn="0" w:noHBand="0" w:noVBand="1"/>
      </w:tblPr>
      <w:tblGrid>
        <w:gridCol w:w="3602"/>
        <w:gridCol w:w="1633"/>
        <w:gridCol w:w="1843"/>
        <w:gridCol w:w="2410"/>
      </w:tblGrid>
      <w:tr w:rsidR="00E16DA5" w14:paraId="4E6B6FC7" w14:textId="77777777" w:rsidTr="00965704">
        <w:tc>
          <w:tcPr>
            <w:tcW w:w="3602" w:type="dxa"/>
            <w:hideMark/>
          </w:tcPr>
          <w:p w14:paraId="1FD529ED" w14:textId="53FE5E21" w:rsidR="00E16DA5" w:rsidRDefault="00E16DA5">
            <w:pPr>
              <w:pStyle w:val="NoSpacing"/>
              <w:rPr>
                <w:b/>
                <w:bCs/>
              </w:rPr>
            </w:pPr>
            <w:r>
              <w:rPr>
                <w:b/>
                <w:bCs/>
              </w:rPr>
              <w:t xml:space="preserve">Former Leichhardt Council area land value </w:t>
            </w:r>
            <w:r>
              <w:t>(unimproved*)</w:t>
            </w:r>
          </w:p>
        </w:tc>
        <w:tc>
          <w:tcPr>
            <w:tcW w:w="1633" w:type="dxa"/>
            <w:hideMark/>
          </w:tcPr>
          <w:p w14:paraId="4FB6372C" w14:textId="77777777" w:rsidR="00E16DA5" w:rsidRDefault="00E16DA5">
            <w:pPr>
              <w:pStyle w:val="NoSpacing"/>
            </w:pPr>
            <w:r>
              <w:t>2020/21 Rates</w:t>
            </w:r>
          </w:p>
        </w:tc>
        <w:tc>
          <w:tcPr>
            <w:tcW w:w="1843" w:type="dxa"/>
            <w:hideMark/>
          </w:tcPr>
          <w:p w14:paraId="1C6F772A" w14:textId="77777777" w:rsidR="00E16DA5" w:rsidRDefault="00E16DA5">
            <w:pPr>
              <w:pStyle w:val="NoSpacing"/>
            </w:pPr>
            <w:r>
              <w:t>2021/22 Rates</w:t>
            </w:r>
          </w:p>
          <w:p w14:paraId="7B3B5A79" w14:textId="77777777" w:rsidR="00E16DA5" w:rsidRDefault="00E16DA5">
            <w:pPr>
              <w:pStyle w:val="NoSpacing"/>
              <w:rPr>
                <w:sz w:val="20"/>
                <w:szCs w:val="20"/>
              </w:rPr>
            </w:pPr>
            <w:r>
              <w:rPr>
                <w:sz w:val="20"/>
                <w:szCs w:val="20"/>
              </w:rPr>
              <w:t>(New rating structure)</w:t>
            </w:r>
          </w:p>
        </w:tc>
        <w:tc>
          <w:tcPr>
            <w:tcW w:w="2410" w:type="dxa"/>
            <w:hideMark/>
          </w:tcPr>
          <w:p w14:paraId="2F0ADA74" w14:textId="30812C7A" w:rsidR="00E16DA5" w:rsidRDefault="00766335">
            <w:pPr>
              <w:pStyle w:val="NoSpacing"/>
            </w:pPr>
            <w:r w:rsidRPr="00F57956">
              <w:rPr>
                <w:rFonts w:cstheme="minorHAnsi"/>
              </w:rPr>
              <w:t xml:space="preserve">% </w:t>
            </w:r>
            <w:r>
              <w:rPr>
                <w:rFonts w:cstheme="minorHAnsi"/>
              </w:rPr>
              <w:t xml:space="preserve">and $ </w:t>
            </w:r>
            <w:r w:rsidRPr="00F57956">
              <w:rPr>
                <w:rFonts w:cstheme="minorHAnsi"/>
              </w:rPr>
              <w:t>impact</w:t>
            </w:r>
            <w:r>
              <w:rPr>
                <w:rFonts w:cstheme="minorHAnsi"/>
              </w:rPr>
              <w:t>/</w:t>
            </w:r>
            <w:r w:rsidRPr="00F57956">
              <w:rPr>
                <w:rFonts w:cstheme="minorHAnsi"/>
              </w:rPr>
              <w:t>change</w:t>
            </w:r>
          </w:p>
        </w:tc>
      </w:tr>
      <w:tr w:rsidR="00AE0C7F" w14:paraId="4F05B977" w14:textId="77777777" w:rsidTr="00965704">
        <w:tc>
          <w:tcPr>
            <w:tcW w:w="3602" w:type="dxa"/>
            <w:hideMark/>
          </w:tcPr>
          <w:p w14:paraId="043F2354" w14:textId="1E55576F" w:rsidR="00AE0C7F" w:rsidRDefault="00AE0C7F" w:rsidP="00AE0C7F">
            <w:pPr>
              <w:pStyle w:val="NoSpacing"/>
              <w:rPr>
                <w:color w:val="000000"/>
              </w:rPr>
            </w:pPr>
            <w:r>
              <w:t xml:space="preserve">Low </w:t>
            </w:r>
            <w:r>
              <w:rPr>
                <w:color w:val="000000"/>
              </w:rPr>
              <w:t>$ 311,868</w:t>
            </w:r>
          </w:p>
        </w:tc>
        <w:tc>
          <w:tcPr>
            <w:tcW w:w="1633" w:type="dxa"/>
            <w:hideMark/>
          </w:tcPr>
          <w:p w14:paraId="053AFE5F" w14:textId="77777777" w:rsidR="00AE0C7F" w:rsidRDefault="00AE0C7F">
            <w:pPr>
              <w:pStyle w:val="NoSpacing"/>
              <w:rPr>
                <w:color w:val="000000"/>
              </w:rPr>
            </w:pPr>
            <w:r>
              <w:rPr>
                <w:color w:val="000000"/>
              </w:rPr>
              <w:t>$1,508</w:t>
            </w:r>
          </w:p>
        </w:tc>
        <w:tc>
          <w:tcPr>
            <w:tcW w:w="1843" w:type="dxa"/>
            <w:hideMark/>
          </w:tcPr>
          <w:p w14:paraId="433D4679" w14:textId="3A142000" w:rsidR="00AE0C7F" w:rsidRDefault="00AE0C7F">
            <w:pPr>
              <w:pStyle w:val="NoSpacing"/>
              <w:rPr>
                <w:color w:val="000000"/>
              </w:rPr>
            </w:pPr>
            <w:r>
              <w:rPr>
                <w:color w:val="000000"/>
              </w:rPr>
              <w:t>$1,125</w:t>
            </w:r>
          </w:p>
        </w:tc>
        <w:tc>
          <w:tcPr>
            <w:tcW w:w="2410" w:type="dxa"/>
            <w:hideMark/>
          </w:tcPr>
          <w:p w14:paraId="20C56022" w14:textId="77777777" w:rsidR="00AE0C7F" w:rsidRPr="00A002C8" w:rsidRDefault="00AE0C7F">
            <w:pPr>
              <w:pStyle w:val="NoSpacing"/>
            </w:pPr>
            <w:r w:rsidRPr="00A002C8">
              <w:t>-25.4% (-$384)</w:t>
            </w:r>
          </w:p>
        </w:tc>
      </w:tr>
      <w:tr w:rsidR="00AE0C7F" w14:paraId="34E1AC10" w14:textId="77777777" w:rsidTr="00965704">
        <w:tc>
          <w:tcPr>
            <w:tcW w:w="3602" w:type="dxa"/>
            <w:hideMark/>
          </w:tcPr>
          <w:p w14:paraId="4E5F426D" w14:textId="2663F7FA" w:rsidR="00AE0C7F" w:rsidRDefault="00AE0C7F" w:rsidP="00AE0C7F">
            <w:pPr>
              <w:pStyle w:val="NoSpacing"/>
              <w:rPr>
                <w:color w:val="000000"/>
              </w:rPr>
            </w:pPr>
            <w:r>
              <w:t xml:space="preserve">Average </w:t>
            </w:r>
            <w:r>
              <w:rPr>
                <w:color w:val="000000"/>
              </w:rPr>
              <w:t>$ 910,000</w:t>
            </w:r>
          </w:p>
        </w:tc>
        <w:tc>
          <w:tcPr>
            <w:tcW w:w="1633" w:type="dxa"/>
            <w:hideMark/>
          </w:tcPr>
          <w:p w14:paraId="37843BA5" w14:textId="77777777" w:rsidR="00AE0C7F" w:rsidRDefault="00AE0C7F">
            <w:pPr>
              <w:pStyle w:val="NoSpacing"/>
              <w:rPr>
                <w:color w:val="000000"/>
              </w:rPr>
            </w:pPr>
            <w:r>
              <w:rPr>
                <w:color w:val="000000"/>
              </w:rPr>
              <w:t>$4,330</w:t>
            </w:r>
          </w:p>
        </w:tc>
        <w:tc>
          <w:tcPr>
            <w:tcW w:w="1843" w:type="dxa"/>
            <w:hideMark/>
          </w:tcPr>
          <w:p w14:paraId="66F0FFEE" w14:textId="77777777" w:rsidR="00AE0C7F" w:rsidRDefault="00AE0C7F">
            <w:pPr>
              <w:pStyle w:val="NoSpacing"/>
              <w:rPr>
                <w:color w:val="000000"/>
              </w:rPr>
            </w:pPr>
            <w:r>
              <w:rPr>
                <w:color w:val="000000"/>
              </w:rPr>
              <w:t>$3,268</w:t>
            </w:r>
          </w:p>
        </w:tc>
        <w:tc>
          <w:tcPr>
            <w:tcW w:w="2410" w:type="dxa"/>
            <w:hideMark/>
          </w:tcPr>
          <w:p w14:paraId="4697493E" w14:textId="77777777" w:rsidR="00AE0C7F" w:rsidRPr="00A002C8" w:rsidRDefault="00AE0C7F">
            <w:pPr>
              <w:pStyle w:val="NoSpacing"/>
            </w:pPr>
            <w:r w:rsidRPr="00A002C8">
              <w:t>-24.5% (-$1,062)</w:t>
            </w:r>
          </w:p>
        </w:tc>
      </w:tr>
      <w:tr w:rsidR="00AE0C7F" w14:paraId="17B427E4" w14:textId="77777777" w:rsidTr="00965704">
        <w:tc>
          <w:tcPr>
            <w:tcW w:w="3602" w:type="dxa"/>
            <w:hideMark/>
          </w:tcPr>
          <w:p w14:paraId="245613F6" w14:textId="5682B894" w:rsidR="00AE0C7F" w:rsidRDefault="00AE0C7F" w:rsidP="00AE0C7F">
            <w:pPr>
              <w:pStyle w:val="NoSpacing"/>
              <w:rPr>
                <w:color w:val="000000"/>
              </w:rPr>
            </w:pPr>
            <w:r>
              <w:t xml:space="preserve">High </w:t>
            </w:r>
            <w:r>
              <w:rPr>
                <w:color w:val="000000"/>
              </w:rPr>
              <w:t>$2,720,000</w:t>
            </w:r>
          </w:p>
        </w:tc>
        <w:tc>
          <w:tcPr>
            <w:tcW w:w="1633" w:type="dxa"/>
            <w:hideMark/>
          </w:tcPr>
          <w:p w14:paraId="154879B8" w14:textId="77777777" w:rsidR="00AE0C7F" w:rsidRDefault="00AE0C7F">
            <w:pPr>
              <w:pStyle w:val="NoSpacing"/>
              <w:rPr>
                <w:color w:val="000000"/>
              </w:rPr>
            </w:pPr>
            <w:r>
              <w:rPr>
                <w:color w:val="000000"/>
              </w:rPr>
              <w:t>$14,035</w:t>
            </w:r>
          </w:p>
        </w:tc>
        <w:tc>
          <w:tcPr>
            <w:tcW w:w="1843" w:type="dxa"/>
            <w:hideMark/>
          </w:tcPr>
          <w:p w14:paraId="187247E9" w14:textId="77777777" w:rsidR="00AE0C7F" w:rsidRDefault="00AE0C7F">
            <w:pPr>
              <w:pStyle w:val="NoSpacing"/>
              <w:rPr>
                <w:color w:val="000000"/>
              </w:rPr>
            </w:pPr>
            <w:r>
              <w:rPr>
                <w:color w:val="000000"/>
              </w:rPr>
              <w:t>$10,637</w:t>
            </w:r>
          </w:p>
        </w:tc>
        <w:tc>
          <w:tcPr>
            <w:tcW w:w="2410" w:type="dxa"/>
            <w:hideMark/>
          </w:tcPr>
          <w:p w14:paraId="733D74BB" w14:textId="77777777" w:rsidR="00AE0C7F" w:rsidRPr="00A002C8" w:rsidRDefault="00AE0C7F">
            <w:pPr>
              <w:pStyle w:val="NoSpacing"/>
            </w:pPr>
            <w:r w:rsidRPr="00A002C8">
              <w:t>-24.2% (-$3,399)</w:t>
            </w:r>
          </w:p>
        </w:tc>
      </w:tr>
    </w:tbl>
    <w:p w14:paraId="756B1657" w14:textId="77777777" w:rsidR="00E16DA5" w:rsidRDefault="00E16DA5" w:rsidP="00E16DA5">
      <w:pPr>
        <w:pStyle w:val="NoSpacing"/>
        <w:rPr>
          <w:rFonts w:ascii="Calibri" w:hAnsi="Calibri" w:cs="Calibri"/>
        </w:rPr>
      </w:pPr>
    </w:p>
    <w:tbl>
      <w:tblPr>
        <w:tblStyle w:val="TableGrid"/>
        <w:tblW w:w="9488" w:type="dxa"/>
        <w:tblLook w:val="04A0" w:firstRow="1" w:lastRow="0" w:firstColumn="1" w:lastColumn="0" w:noHBand="0" w:noVBand="1"/>
      </w:tblPr>
      <w:tblGrid>
        <w:gridCol w:w="3602"/>
        <w:gridCol w:w="1800"/>
        <w:gridCol w:w="1800"/>
        <w:gridCol w:w="2286"/>
      </w:tblGrid>
      <w:tr w:rsidR="00E16DA5" w14:paraId="1D03BF86" w14:textId="77777777" w:rsidTr="00965704">
        <w:tc>
          <w:tcPr>
            <w:tcW w:w="3602" w:type="dxa"/>
            <w:hideMark/>
          </w:tcPr>
          <w:p w14:paraId="2844F082" w14:textId="59AA3C2F" w:rsidR="00E16DA5" w:rsidRDefault="00E16DA5">
            <w:pPr>
              <w:pStyle w:val="NoSpacing"/>
              <w:rPr>
                <w:b/>
                <w:bCs/>
              </w:rPr>
            </w:pPr>
            <w:r>
              <w:rPr>
                <w:b/>
                <w:bCs/>
              </w:rPr>
              <w:t xml:space="preserve">Former Marrickville Council area land value </w:t>
            </w:r>
            <w:r w:rsidR="00F26F5C">
              <w:rPr>
                <w:b/>
                <w:bCs/>
              </w:rPr>
              <w:br/>
            </w:r>
            <w:r>
              <w:t>(unimproved *)</w:t>
            </w:r>
          </w:p>
        </w:tc>
        <w:tc>
          <w:tcPr>
            <w:tcW w:w="1800" w:type="dxa"/>
            <w:hideMark/>
          </w:tcPr>
          <w:p w14:paraId="480926A3" w14:textId="77777777" w:rsidR="00F26F5C" w:rsidRDefault="00E16DA5">
            <w:pPr>
              <w:pStyle w:val="NoSpacing"/>
            </w:pPr>
            <w:r>
              <w:t xml:space="preserve">2020/21 </w:t>
            </w:r>
          </w:p>
          <w:p w14:paraId="77CB6A17" w14:textId="6308148C" w:rsidR="00E16DA5" w:rsidRDefault="00E16DA5">
            <w:pPr>
              <w:pStyle w:val="NoSpacing"/>
            </w:pPr>
            <w:r>
              <w:t>Rates</w:t>
            </w:r>
          </w:p>
        </w:tc>
        <w:tc>
          <w:tcPr>
            <w:tcW w:w="1800" w:type="dxa"/>
            <w:hideMark/>
          </w:tcPr>
          <w:p w14:paraId="51B1DD67" w14:textId="77777777" w:rsidR="00E16DA5" w:rsidRDefault="00E16DA5">
            <w:pPr>
              <w:pStyle w:val="NoSpacing"/>
            </w:pPr>
            <w:r>
              <w:t>2021/22 Rates</w:t>
            </w:r>
          </w:p>
          <w:p w14:paraId="2F87ABBC" w14:textId="77777777" w:rsidR="00E16DA5" w:rsidRDefault="00E16DA5">
            <w:pPr>
              <w:pStyle w:val="NoSpacing"/>
              <w:rPr>
                <w:sz w:val="20"/>
                <w:szCs w:val="20"/>
              </w:rPr>
            </w:pPr>
            <w:r>
              <w:rPr>
                <w:sz w:val="20"/>
                <w:szCs w:val="20"/>
              </w:rPr>
              <w:t>(New rating structure)</w:t>
            </w:r>
          </w:p>
        </w:tc>
        <w:tc>
          <w:tcPr>
            <w:tcW w:w="2286" w:type="dxa"/>
            <w:hideMark/>
          </w:tcPr>
          <w:p w14:paraId="02D413AF" w14:textId="5B785B03" w:rsidR="00E16DA5" w:rsidRDefault="00766335">
            <w:pPr>
              <w:pStyle w:val="NoSpacing"/>
            </w:pPr>
            <w:r w:rsidRPr="00F57956">
              <w:rPr>
                <w:rFonts w:cstheme="minorHAnsi"/>
              </w:rPr>
              <w:t xml:space="preserve">% </w:t>
            </w:r>
            <w:r>
              <w:rPr>
                <w:rFonts w:cstheme="minorHAnsi"/>
              </w:rPr>
              <w:t xml:space="preserve">and $ </w:t>
            </w:r>
            <w:r w:rsidRPr="00F57956">
              <w:rPr>
                <w:rFonts w:cstheme="minorHAnsi"/>
              </w:rPr>
              <w:t>impact</w:t>
            </w:r>
            <w:r>
              <w:rPr>
                <w:rFonts w:cstheme="minorHAnsi"/>
              </w:rPr>
              <w:t>/</w:t>
            </w:r>
            <w:r w:rsidRPr="00F57956">
              <w:rPr>
                <w:rFonts w:cstheme="minorHAnsi"/>
              </w:rPr>
              <w:t>change</w:t>
            </w:r>
          </w:p>
        </w:tc>
      </w:tr>
      <w:tr w:rsidR="00AE0C7F" w14:paraId="5AEAE979" w14:textId="77777777" w:rsidTr="00965704">
        <w:tc>
          <w:tcPr>
            <w:tcW w:w="3602" w:type="dxa"/>
            <w:hideMark/>
          </w:tcPr>
          <w:p w14:paraId="60B9650A" w14:textId="0C4AA4C4" w:rsidR="00AE0C7F" w:rsidRDefault="00AE0C7F" w:rsidP="00AE0C7F">
            <w:pPr>
              <w:pStyle w:val="NoSpacing"/>
              <w:rPr>
                <w:color w:val="000000"/>
              </w:rPr>
            </w:pPr>
            <w:r>
              <w:t xml:space="preserve">Low </w:t>
            </w:r>
            <w:r>
              <w:rPr>
                <w:color w:val="000000"/>
              </w:rPr>
              <w:t>$ 340,200</w:t>
            </w:r>
          </w:p>
        </w:tc>
        <w:tc>
          <w:tcPr>
            <w:tcW w:w="1800" w:type="dxa"/>
            <w:hideMark/>
          </w:tcPr>
          <w:p w14:paraId="43662898" w14:textId="77777777" w:rsidR="00AE0C7F" w:rsidRDefault="00AE0C7F">
            <w:pPr>
              <w:pStyle w:val="NoSpacing"/>
              <w:rPr>
                <w:color w:val="000000"/>
              </w:rPr>
            </w:pPr>
            <w:r>
              <w:rPr>
                <w:color w:val="000000"/>
              </w:rPr>
              <w:t>$1,332</w:t>
            </w:r>
          </w:p>
        </w:tc>
        <w:tc>
          <w:tcPr>
            <w:tcW w:w="1800" w:type="dxa"/>
            <w:hideMark/>
          </w:tcPr>
          <w:p w14:paraId="413021A4" w14:textId="311C7665" w:rsidR="00AE0C7F" w:rsidRDefault="00AE0C7F">
            <w:pPr>
              <w:pStyle w:val="NoSpacing"/>
              <w:rPr>
                <w:color w:val="000000"/>
              </w:rPr>
            </w:pPr>
            <w:r>
              <w:rPr>
                <w:color w:val="000000"/>
              </w:rPr>
              <w:t>$1,562</w:t>
            </w:r>
          </w:p>
        </w:tc>
        <w:tc>
          <w:tcPr>
            <w:tcW w:w="2286" w:type="dxa"/>
            <w:hideMark/>
          </w:tcPr>
          <w:p w14:paraId="6E8762EC" w14:textId="40A00DCD" w:rsidR="00AE0C7F" w:rsidRDefault="00AE0C7F">
            <w:pPr>
              <w:pStyle w:val="NoSpacing"/>
              <w:rPr>
                <w:color w:val="000000"/>
              </w:rPr>
            </w:pPr>
            <w:r>
              <w:rPr>
                <w:color w:val="000000"/>
              </w:rPr>
              <w:t>17.3% (+$230)</w:t>
            </w:r>
          </w:p>
        </w:tc>
      </w:tr>
      <w:tr w:rsidR="00AE0C7F" w14:paraId="34252FF5" w14:textId="77777777" w:rsidTr="00965704">
        <w:tc>
          <w:tcPr>
            <w:tcW w:w="3602" w:type="dxa"/>
            <w:hideMark/>
          </w:tcPr>
          <w:p w14:paraId="3A5D5328" w14:textId="466F1707" w:rsidR="00AE0C7F" w:rsidRDefault="00AE0C7F" w:rsidP="00AE0C7F">
            <w:pPr>
              <w:pStyle w:val="NoSpacing"/>
              <w:rPr>
                <w:color w:val="000000"/>
              </w:rPr>
            </w:pPr>
            <w:r>
              <w:t xml:space="preserve">Average </w:t>
            </w:r>
            <w:r>
              <w:rPr>
                <w:color w:val="000000"/>
              </w:rPr>
              <w:t>$ 874,000</w:t>
            </w:r>
          </w:p>
        </w:tc>
        <w:tc>
          <w:tcPr>
            <w:tcW w:w="1800" w:type="dxa"/>
            <w:hideMark/>
          </w:tcPr>
          <w:p w14:paraId="294BEFF0" w14:textId="77777777" w:rsidR="00AE0C7F" w:rsidRDefault="00AE0C7F">
            <w:pPr>
              <w:pStyle w:val="NoSpacing"/>
              <w:rPr>
                <w:color w:val="000000"/>
              </w:rPr>
            </w:pPr>
            <w:r>
              <w:rPr>
                <w:color w:val="000000"/>
              </w:rPr>
              <w:t>$3,263</w:t>
            </w:r>
          </w:p>
        </w:tc>
        <w:tc>
          <w:tcPr>
            <w:tcW w:w="1800" w:type="dxa"/>
            <w:hideMark/>
          </w:tcPr>
          <w:p w14:paraId="61409749" w14:textId="77777777" w:rsidR="00AE0C7F" w:rsidRDefault="00AE0C7F">
            <w:pPr>
              <w:pStyle w:val="NoSpacing"/>
              <w:rPr>
                <w:color w:val="000000"/>
              </w:rPr>
            </w:pPr>
            <w:r>
              <w:rPr>
                <w:color w:val="000000"/>
              </w:rPr>
              <w:t>$3,877</w:t>
            </w:r>
          </w:p>
        </w:tc>
        <w:tc>
          <w:tcPr>
            <w:tcW w:w="2286" w:type="dxa"/>
            <w:hideMark/>
          </w:tcPr>
          <w:p w14:paraId="05F8C834" w14:textId="3733F233" w:rsidR="00AE0C7F" w:rsidRDefault="00AE0C7F">
            <w:pPr>
              <w:pStyle w:val="NoSpacing"/>
              <w:rPr>
                <w:color w:val="000000"/>
              </w:rPr>
            </w:pPr>
            <w:r w:rsidRPr="110C7331">
              <w:rPr>
                <w:color w:val="000000" w:themeColor="text1"/>
              </w:rPr>
              <w:t>18.8% (+$614)</w:t>
            </w:r>
          </w:p>
        </w:tc>
      </w:tr>
      <w:tr w:rsidR="00AE0C7F" w14:paraId="53D63B32" w14:textId="77777777" w:rsidTr="00965704">
        <w:tc>
          <w:tcPr>
            <w:tcW w:w="3602" w:type="dxa"/>
            <w:hideMark/>
          </w:tcPr>
          <w:p w14:paraId="4DAA04AF" w14:textId="65AAFCDB" w:rsidR="00AE0C7F" w:rsidRDefault="00AE0C7F" w:rsidP="00AE0C7F">
            <w:pPr>
              <w:pStyle w:val="NoSpacing"/>
              <w:rPr>
                <w:color w:val="000000"/>
              </w:rPr>
            </w:pPr>
            <w:r>
              <w:t xml:space="preserve">High </w:t>
            </w:r>
            <w:r>
              <w:rPr>
                <w:color w:val="000000"/>
              </w:rPr>
              <w:t>$2,610,000</w:t>
            </w:r>
          </w:p>
        </w:tc>
        <w:tc>
          <w:tcPr>
            <w:tcW w:w="1800" w:type="dxa"/>
            <w:hideMark/>
          </w:tcPr>
          <w:p w14:paraId="0E828565" w14:textId="77777777" w:rsidR="00AE0C7F" w:rsidRDefault="00AE0C7F">
            <w:pPr>
              <w:pStyle w:val="NoSpacing"/>
              <w:rPr>
                <w:color w:val="000000"/>
              </w:rPr>
            </w:pPr>
            <w:r>
              <w:rPr>
                <w:color w:val="000000"/>
              </w:rPr>
              <w:t>$11,464</w:t>
            </w:r>
          </w:p>
        </w:tc>
        <w:tc>
          <w:tcPr>
            <w:tcW w:w="1800" w:type="dxa"/>
            <w:hideMark/>
          </w:tcPr>
          <w:p w14:paraId="404422AC" w14:textId="77777777" w:rsidR="00AE0C7F" w:rsidRDefault="00AE0C7F">
            <w:pPr>
              <w:pStyle w:val="NoSpacing"/>
              <w:rPr>
                <w:color w:val="000000"/>
              </w:rPr>
            </w:pPr>
            <w:r>
              <w:rPr>
                <w:color w:val="000000"/>
              </w:rPr>
              <w:t>$12,255</w:t>
            </w:r>
          </w:p>
        </w:tc>
        <w:tc>
          <w:tcPr>
            <w:tcW w:w="2286" w:type="dxa"/>
            <w:hideMark/>
          </w:tcPr>
          <w:p w14:paraId="10F2F60E" w14:textId="0E37B294" w:rsidR="00AE0C7F" w:rsidRDefault="00AE0C7F">
            <w:pPr>
              <w:pStyle w:val="NoSpacing"/>
              <w:rPr>
                <w:color w:val="000000"/>
              </w:rPr>
            </w:pPr>
            <w:r>
              <w:rPr>
                <w:color w:val="000000"/>
              </w:rPr>
              <w:t>6.9% (+$791)</w:t>
            </w:r>
          </w:p>
        </w:tc>
      </w:tr>
    </w:tbl>
    <w:p w14:paraId="7BA65D90" w14:textId="77777777" w:rsidR="0093089C" w:rsidRPr="00F57956" w:rsidRDefault="0093089C" w:rsidP="0093089C">
      <w:pPr>
        <w:pStyle w:val="NoSpacing"/>
        <w:rPr>
          <w:rFonts w:cstheme="minorHAnsi"/>
          <w:b/>
          <w:bCs/>
        </w:rPr>
      </w:pPr>
    </w:p>
    <w:p w14:paraId="3860593F" w14:textId="77777777" w:rsidR="0093089C" w:rsidRPr="00F57956" w:rsidRDefault="0093089C" w:rsidP="008E254E">
      <w:pPr>
        <w:pStyle w:val="Heading2"/>
      </w:pPr>
      <w:r w:rsidRPr="00F57956">
        <w:t xml:space="preserve">How many ratepayers will pay minimum rates? </w:t>
      </w:r>
    </w:p>
    <w:p w14:paraId="0A5C997E" w14:textId="77777777" w:rsidR="0093089C" w:rsidRPr="00F57956" w:rsidRDefault="0093089C" w:rsidP="0093089C">
      <w:pPr>
        <w:pStyle w:val="NoSpacing"/>
        <w:rPr>
          <w:rFonts w:cstheme="minorHAnsi"/>
        </w:rPr>
      </w:pPr>
      <w:r w:rsidRPr="00F57956">
        <w:rPr>
          <w:rFonts w:cstheme="minorHAnsi"/>
        </w:rPr>
        <w:t xml:space="preserve">Approximately: </w:t>
      </w:r>
    </w:p>
    <w:p w14:paraId="1D792768" w14:textId="2C3D41AE" w:rsidR="0093089C" w:rsidRPr="00F57956" w:rsidRDefault="0093089C" w:rsidP="7661A9F9">
      <w:pPr>
        <w:pStyle w:val="xmsonormal"/>
        <w:numPr>
          <w:ilvl w:val="0"/>
          <w:numId w:val="11"/>
        </w:numPr>
        <w:spacing w:before="0" w:beforeAutospacing="0" w:after="0" w:afterAutospacing="0"/>
        <w:rPr>
          <w:rFonts w:ascii="Poppins" w:eastAsia="Poppins" w:hAnsi="Poppins" w:cs="Poppins"/>
          <w:color w:val="000000"/>
        </w:rPr>
      </w:pPr>
      <w:r w:rsidRPr="7661A9F9">
        <w:rPr>
          <w:rFonts w:ascii="Poppins" w:eastAsia="Poppins" w:hAnsi="Poppins" w:cs="Poppins"/>
          <w:color w:val="000000" w:themeColor="text1"/>
        </w:rPr>
        <w:t xml:space="preserve">43% of residential ratepayers will pay the minimum rate of $850 </w:t>
      </w:r>
      <w:r>
        <w:br/>
      </w:r>
      <w:r w:rsidRPr="7661A9F9">
        <w:rPr>
          <w:rFonts w:ascii="Poppins" w:eastAsia="Poppins" w:hAnsi="Poppins" w:cs="Poppins"/>
          <w:color w:val="000000" w:themeColor="text1"/>
        </w:rPr>
        <w:t>(30,959 ratepayers will pay the minimum rate while 41,879 will pay ad valorem)</w:t>
      </w:r>
      <w:r>
        <w:br/>
      </w:r>
    </w:p>
    <w:p w14:paraId="4BE96FD6" w14:textId="450D8A80" w:rsidR="0093089C" w:rsidRPr="00F57956" w:rsidRDefault="0093089C" w:rsidP="7661A9F9">
      <w:pPr>
        <w:pStyle w:val="xmsonormal"/>
        <w:numPr>
          <w:ilvl w:val="0"/>
          <w:numId w:val="11"/>
        </w:numPr>
        <w:spacing w:before="0" w:beforeAutospacing="0" w:after="0" w:afterAutospacing="0"/>
        <w:rPr>
          <w:rFonts w:ascii="Poppins" w:eastAsia="Poppins" w:hAnsi="Poppins" w:cs="Poppins"/>
          <w:color w:val="000000"/>
        </w:rPr>
      </w:pPr>
      <w:r w:rsidRPr="7661A9F9">
        <w:rPr>
          <w:rFonts w:ascii="Poppins" w:eastAsia="Poppins" w:hAnsi="Poppins" w:cs="Poppins"/>
          <w:b/>
          <w:bCs/>
          <w:color w:val="000000" w:themeColor="text1"/>
        </w:rPr>
        <w:t xml:space="preserve"> </w:t>
      </w:r>
      <w:r w:rsidRPr="7661A9F9">
        <w:rPr>
          <w:rFonts w:ascii="Poppins" w:eastAsia="Poppins" w:hAnsi="Poppins" w:cs="Poppins"/>
          <w:color w:val="000000" w:themeColor="text1"/>
        </w:rPr>
        <w:t>1</w:t>
      </w:r>
      <w:r w:rsidR="068EEDEF" w:rsidRPr="7661A9F9">
        <w:rPr>
          <w:rFonts w:ascii="Poppins" w:eastAsia="Poppins" w:hAnsi="Poppins" w:cs="Poppins"/>
          <w:color w:val="000000" w:themeColor="text1"/>
        </w:rPr>
        <w:t>4</w:t>
      </w:r>
      <w:r w:rsidRPr="7661A9F9">
        <w:rPr>
          <w:rFonts w:ascii="Poppins" w:eastAsia="Poppins" w:hAnsi="Poppins" w:cs="Poppins"/>
          <w:color w:val="000000" w:themeColor="text1"/>
        </w:rPr>
        <w:t>% of business general ratepayers will pay the minimum rate of $820</w:t>
      </w:r>
      <w:r>
        <w:br/>
      </w:r>
      <w:r w:rsidRPr="7661A9F9">
        <w:rPr>
          <w:rFonts w:ascii="Poppins" w:eastAsia="Poppins" w:hAnsi="Poppins" w:cs="Poppins"/>
          <w:color w:val="000000" w:themeColor="text1"/>
        </w:rPr>
        <w:t>(624 ratepayers will pay the minimum rate while 3,641 will pay ad valorem)</w:t>
      </w:r>
      <w:r>
        <w:br/>
      </w:r>
    </w:p>
    <w:p w14:paraId="67F92725" w14:textId="3F95E450" w:rsidR="0093089C" w:rsidRPr="00F57956" w:rsidRDefault="7AC8B37E" w:rsidP="4F600A86">
      <w:pPr>
        <w:pStyle w:val="xmsonormal"/>
        <w:numPr>
          <w:ilvl w:val="0"/>
          <w:numId w:val="11"/>
        </w:numPr>
        <w:spacing w:before="0" w:beforeAutospacing="0" w:after="0" w:afterAutospacing="0"/>
        <w:rPr>
          <w:rFonts w:ascii="Poppins" w:eastAsia="Poppins" w:hAnsi="Poppins" w:cs="Poppins"/>
          <w:color w:val="000000"/>
        </w:rPr>
      </w:pPr>
      <w:r w:rsidRPr="110C7331">
        <w:rPr>
          <w:rFonts w:ascii="Poppins" w:eastAsia="Poppins" w:hAnsi="Poppins" w:cs="Poppins"/>
          <w:color w:val="000000" w:themeColor="text1"/>
        </w:rPr>
        <w:t>0</w:t>
      </w:r>
      <w:r w:rsidR="0093089C" w:rsidRPr="110C7331">
        <w:rPr>
          <w:rFonts w:ascii="Poppins" w:eastAsia="Poppins" w:hAnsi="Poppins" w:cs="Poppins"/>
          <w:color w:val="000000" w:themeColor="text1"/>
        </w:rPr>
        <w:t>.4% of business industrial ratepayers will pay the minimum rate of $820</w:t>
      </w:r>
      <w:r w:rsidR="0093089C">
        <w:br/>
      </w:r>
      <w:r w:rsidR="0093089C" w:rsidRPr="110C7331">
        <w:rPr>
          <w:rFonts w:ascii="Poppins" w:eastAsia="Poppins" w:hAnsi="Poppins" w:cs="Poppins"/>
          <w:color w:val="000000" w:themeColor="text1"/>
        </w:rPr>
        <w:t>(6 ratepayers will pay the minimum rate while 1,272 will pay ad valorem)</w:t>
      </w:r>
    </w:p>
    <w:p w14:paraId="74FAE3F3" w14:textId="553ABC72" w:rsidR="7661A9F9" w:rsidRDefault="7661A9F9" w:rsidP="7661A9F9">
      <w:pPr>
        <w:pStyle w:val="Heading2"/>
      </w:pPr>
    </w:p>
    <w:p w14:paraId="7537DD8F" w14:textId="32122D0F" w:rsidR="00A71444" w:rsidRPr="00F57956" w:rsidRDefault="0017215D" w:rsidP="008E254E">
      <w:pPr>
        <w:pStyle w:val="Heading2"/>
      </w:pPr>
      <w:r w:rsidRPr="00F57956">
        <w:t>Why is the new rating structure fairer</w:t>
      </w:r>
      <w:r w:rsidR="00A71444" w:rsidRPr="00F57956">
        <w:t xml:space="preserve">? </w:t>
      </w:r>
    </w:p>
    <w:p w14:paraId="7FEC3FBE" w14:textId="0DA58ED7" w:rsidR="0017215D" w:rsidRDefault="0017215D" w:rsidP="006C6CBA">
      <w:pPr>
        <w:pStyle w:val="NoSpacing"/>
        <w:rPr>
          <w:rFonts w:cstheme="minorHAnsi"/>
        </w:rPr>
      </w:pPr>
      <w:r w:rsidRPr="00F57956">
        <w:rPr>
          <w:rFonts w:cstheme="minorHAnsi"/>
        </w:rPr>
        <w:t xml:space="preserve">Ratepayers will pay </w:t>
      </w:r>
      <w:r w:rsidR="00EC46D7" w:rsidRPr="00F57956">
        <w:rPr>
          <w:rFonts w:cstheme="minorHAnsi"/>
        </w:rPr>
        <w:t>a fair share of rates based on the value of their land under the new rating</w:t>
      </w:r>
      <w:r w:rsidR="00BE70E1" w:rsidRPr="00F57956">
        <w:rPr>
          <w:rFonts w:cstheme="minorHAnsi"/>
        </w:rPr>
        <w:t xml:space="preserve"> structure</w:t>
      </w:r>
      <w:r w:rsidR="00EC46D7" w:rsidRPr="00F57956">
        <w:rPr>
          <w:rFonts w:cstheme="minorHAnsi"/>
        </w:rPr>
        <w:t>.</w:t>
      </w:r>
    </w:p>
    <w:p w14:paraId="248CB1B0" w14:textId="1CCB8D48" w:rsidR="00A71444" w:rsidRDefault="00A71444" w:rsidP="008E254E">
      <w:pPr>
        <w:pStyle w:val="Heading3"/>
      </w:pPr>
      <w:r w:rsidRPr="00F57956">
        <w:lastRenderedPageBreak/>
        <w:t>Residential</w:t>
      </w:r>
    </w:p>
    <w:p w14:paraId="4E38F17E" w14:textId="1AA757CD" w:rsidR="00A71444" w:rsidRDefault="00A71444" w:rsidP="006C6CBA">
      <w:pPr>
        <w:pStyle w:val="NoSpacing"/>
      </w:pPr>
      <w:r w:rsidRPr="00F57956">
        <w:rPr>
          <w:rFonts w:cstheme="minorHAnsi"/>
        </w:rPr>
        <w:t xml:space="preserve">Currently </w:t>
      </w:r>
      <w:r w:rsidR="00EA37B7" w:rsidRPr="00F57956">
        <w:rPr>
          <w:rFonts w:cstheme="minorHAnsi"/>
        </w:rPr>
        <w:t xml:space="preserve">residential </w:t>
      </w:r>
      <w:r w:rsidR="00D53641" w:rsidRPr="00F57956">
        <w:rPr>
          <w:rFonts w:cstheme="minorHAnsi"/>
        </w:rPr>
        <w:t xml:space="preserve">ratepayers </w:t>
      </w:r>
      <w:r w:rsidR="00CC0E23" w:rsidRPr="00F57956">
        <w:rPr>
          <w:rFonts w:cstheme="minorHAnsi"/>
        </w:rPr>
        <w:t xml:space="preserve">in the former </w:t>
      </w:r>
      <w:r w:rsidRPr="00F57956">
        <w:t xml:space="preserve">Ashfield </w:t>
      </w:r>
      <w:r w:rsidR="00CC0E23" w:rsidRPr="00F57956">
        <w:t>Council area pay</w:t>
      </w:r>
      <w:r w:rsidR="00300D53" w:rsidRPr="00F57956">
        <w:t xml:space="preserve"> a higher percentage of rates compared to land value while </w:t>
      </w:r>
      <w:r w:rsidR="00300D53" w:rsidRPr="00F57956">
        <w:rPr>
          <w:rFonts w:cstheme="minorHAnsi"/>
        </w:rPr>
        <w:t xml:space="preserve">ratepayers in the former </w:t>
      </w:r>
      <w:r w:rsidR="00853F9E" w:rsidRPr="00F57956">
        <w:t>Marrickville</w:t>
      </w:r>
      <w:r w:rsidR="00300D53" w:rsidRPr="00F57956">
        <w:t xml:space="preserve"> Council area pay a </w:t>
      </w:r>
      <w:r w:rsidR="00BE70E1" w:rsidRPr="00F57956">
        <w:t>lower</w:t>
      </w:r>
      <w:r w:rsidR="00300D53" w:rsidRPr="00F57956">
        <w:t xml:space="preserve"> percentage of rates compared to land value</w:t>
      </w:r>
      <w:r w:rsidR="00BE70E1" w:rsidRPr="00F57956">
        <w:t>.</w:t>
      </w:r>
      <w:r w:rsidR="00300D53" w:rsidRPr="00F57956">
        <w:t xml:space="preserve"> </w:t>
      </w:r>
    </w:p>
    <w:p w14:paraId="20E00574" w14:textId="77777777" w:rsidR="00AE0C7F" w:rsidRPr="00AE0C7F" w:rsidRDefault="00AE0C7F" w:rsidP="00AE0C7F"/>
    <w:p w14:paraId="67E52794" w14:textId="2856AF81" w:rsidR="00EC4A65" w:rsidRPr="00EC4A65" w:rsidRDefault="00AE0C7F" w:rsidP="00EC4A65">
      <w:r w:rsidRPr="00F57956">
        <w:rPr>
          <w:rFonts w:cstheme="minorHAnsi"/>
          <w:noProof/>
        </w:rPr>
        <w:drawing>
          <wp:inline distT="0" distB="0" distL="0" distR="0" wp14:anchorId="2097AB9A" wp14:editId="759EEE36">
            <wp:extent cx="5393493" cy="4684467"/>
            <wp:effectExtent l="0" t="0" r="17145" b="1905"/>
            <wp:docPr id="3" name="Chart 3" descr="Land value to rates comparison. Residential ratepayers. Former Ashfield Council area 21% total land value and 27% rates paid. Former Leichhardt Council area 39% total land value and 37% rates paid. Former Marrickville area 40% total land value and 35% rates paid.">
              <a:extLst xmlns:a="http://schemas.openxmlformats.org/drawingml/2006/main">
                <a:ext uri="{FF2B5EF4-FFF2-40B4-BE49-F238E27FC236}">
                  <a16:creationId xmlns:a16="http://schemas.microsoft.com/office/drawing/2014/main" id="{CE279989-0B18-49F6-81CF-B0A59196CB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A8D73D" w14:textId="77777777" w:rsidR="00AE0C7F" w:rsidRDefault="00AE0C7F">
      <w:pPr>
        <w:spacing w:before="0" w:after="160"/>
        <w:rPr>
          <w:rFonts w:eastAsiaTheme="majorEastAsia" w:cstheme="majorBidi"/>
          <w:b/>
          <w:sz w:val="28"/>
          <w:szCs w:val="24"/>
        </w:rPr>
      </w:pPr>
      <w:r>
        <w:br w:type="page"/>
      </w:r>
    </w:p>
    <w:p w14:paraId="312539B8" w14:textId="250A0D31" w:rsidR="008E254E" w:rsidRDefault="005A5191" w:rsidP="003D2547">
      <w:pPr>
        <w:pStyle w:val="Heading3"/>
      </w:pPr>
      <w:r w:rsidRPr="00F57956">
        <w:lastRenderedPageBreak/>
        <w:t>Business</w:t>
      </w:r>
    </w:p>
    <w:p w14:paraId="464D3592" w14:textId="602013F5" w:rsidR="00FB4133" w:rsidRDefault="00FB4133" w:rsidP="00FB4133">
      <w:pPr>
        <w:pStyle w:val="NoSpacing"/>
      </w:pPr>
      <w:r w:rsidRPr="00F57956">
        <w:rPr>
          <w:rFonts w:cstheme="minorHAnsi"/>
        </w:rPr>
        <w:t xml:space="preserve">Currently business ratepayers in the former </w:t>
      </w:r>
      <w:r w:rsidR="001C673F" w:rsidRPr="00F57956">
        <w:t>Leichhardt</w:t>
      </w:r>
      <w:r w:rsidRPr="00F57956">
        <w:t xml:space="preserve"> Council area pay a higher percentage of rates compared to land value while </w:t>
      </w:r>
      <w:r w:rsidRPr="00F57956">
        <w:rPr>
          <w:rFonts w:cstheme="minorHAnsi"/>
        </w:rPr>
        <w:t xml:space="preserve">ratepayers in the former </w:t>
      </w:r>
      <w:r w:rsidRPr="00F57956">
        <w:t xml:space="preserve">Marrickville Council area pay a lower percentage of rates compared to land value. </w:t>
      </w:r>
    </w:p>
    <w:p w14:paraId="49AA7751" w14:textId="77777777" w:rsidR="00AE0C7F" w:rsidRPr="00AE0C7F" w:rsidRDefault="00AE0C7F" w:rsidP="00AE0C7F"/>
    <w:p w14:paraId="79332BD8" w14:textId="307337DF" w:rsidR="00190B39" w:rsidRPr="00190B39" w:rsidRDefault="00AE0C7F" w:rsidP="00190B39">
      <w:r w:rsidRPr="00F57956">
        <w:rPr>
          <w:noProof/>
          <w:color w:val="000000"/>
        </w:rPr>
        <w:drawing>
          <wp:inline distT="0" distB="0" distL="0" distR="0" wp14:anchorId="4F33282C" wp14:editId="789908BB">
            <wp:extent cx="5652655" cy="4332398"/>
            <wp:effectExtent l="0" t="0" r="5715" b="11430"/>
            <wp:docPr id="5" name="Chart 5" descr="Land value to rates comparison. Business ratepayers. Former Ashfield Council area ratepayers 22% total land value and 20% rates paid. Former Leichhardt Council area 40% total land value and 50% rates paid. Former Marrickville Council area 38% total land value and 30% rates paid.">
              <a:extLst xmlns:a="http://schemas.openxmlformats.org/drawingml/2006/main">
                <a:ext uri="{FF2B5EF4-FFF2-40B4-BE49-F238E27FC236}">
                  <a16:creationId xmlns:a16="http://schemas.microsoft.com/office/drawing/2014/main" id="{28D8FA24-D1BC-417A-8BF3-4BEBEC02F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10D387" w14:textId="37524E80" w:rsidR="005505C0" w:rsidRPr="00F57956" w:rsidRDefault="007F4B53" w:rsidP="005A5191">
      <w:pPr>
        <w:rPr>
          <w:rFonts w:cs="Calibri"/>
          <w:color w:val="000000"/>
        </w:rPr>
      </w:pPr>
      <w:r w:rsidRPr="00F57956">
        <w:rPr>
          <w:rFonts w:cs="Calibri"/>
          <w:color w:val="000000"/>
        </w:rPr>
        <w:t>An independent review</w:t>
      </w:r>
      <w:r w:rsidR="0097563B" w:rsidRPr="00F57956">
        <w:rPr>
          <w:rFonts w:cs="Calibri"/>
          <w:color w:val="000000"/>
        </w:rPr>
        <w:t xml:space="preserve"> of rates commissioned by Council</w:t>
      </w:r>
      <w:r w:rsidRPr="00F57956">
        <w:rPr>
          <w:rFonts w:cs="Calibri"/>
          <w:color w:val="000000"/>
        </w:rPr>
        <w:t xml:space="preserve"> </w:t>
      </w:r>
      <w:r w:rsidR="00744E48" w:rsidRPr="00F57956">
        <w:rPr>
          <w:rFonts w:cs="Calibri"/>
          <w:color w:val="000000"/>
        </w:rPr>
        <w:t xml:space="preserve">also </w:t>
      </w:r>
      <w:r w:rsidR="0097563B" w:rsidRPr="00F57956">
        <w:rPr>
          <w:rFonts w:cs="Calibri"/>
          <w:color w:val="000000"/>
        </w:rPr>
        <w:t>found</w:t>
      </w:r>
      <w:r w:rsidRPr="00F57956">
        <w:rPr>
          <w:rFonts w:cs="Calibri"/>
          <w:color w:val="000000"/>
        </w:rPr>
        <w:t xml:space="preserve"> that shopping centres (malls) </w:t>
      </w:r>
      <w:r w:rsidR="00A231AF" w:rsidRPr="00F57956">
        <w:rPr>
          <w:rFonts w:cs="Calibri"/>
          <w:color w:val="000000"/>
        </w:rPr>
        <w:t xml:space="preserve">pay a lower percentage </w:t>
      </w:r>
      <w:r w:rsidRPr="00F57956">
        <w:rPr>
          <w:rFonts w:cs="Calibri"/>
          <w:color w:val="000000"/>
        </w:rPr>
        <w:t xml:space="preserve">share of rates for the services they use. </w:t>
      </w:r>
    </w:p>
    <w:p w14:paraId="7AF45D3A" w14:textId="401AAE90" w:rsidR="005A5191" w:rsidRPr="00F57956" w:rsidRDefault="005A5191" w:rsidP="005A5191">
      <w:pPr>
        <w:rPr>
          <w:rFonts w:cs="Calibri"/>
          <w:color w:val="000000"/>
        </w:rPr>
      </w:pPr>
      <w:r w:rsidRPr="00F57956">
        <w:rPr>
          <w:rFonts w:cs="Calibri"/>
          <w:color w:val="000000"/>
        </w:rPr>
        <w:t xml:space="preserve">Under the proposed new rating structure, </w:t>
      </w:r>
      <w:r w:rsidR="003B19F4" w:rsidRPr="00F57956">
        <w:rPr>
          <w:rFonts w:cs="Calibri"/>
        </w:rPr>
        <w:t xml:space="preserve">Council will raise an extra </w:t>
      </w:r>
      <w:r w:rsidR="003B19F4" w:rsidRPr="00F57956">
        <w:rPr>
          <w:rFonts w:cs="Calibri"/>
          <w:color w:val="000000"/>
        </w:rPr>
        <w:t xml:space="preserve">$600,000 from </w:t>
      </w:r>
      <w:r w:rsidR="00956120" w:rsidRPr="00F57956">
        <w:rPr>
          <w:rFonts w:cs="Calibri"/>
          <w:color w:val="000000"/>
        </w:rPr>
        <w:t xml:space="preserve">the four </w:t>
      </w:r>
      <w:r w:rsidR="007F4B53" w:rsidRPr="00F57956">
        <w:rPr>
          <w:rFonts w:cs="Calibri"/>
          <w:color w:val="000000"/>
        </w:rPr>
        <w:t xml:space="preserve">shopping centres </w:t>
      </w:r>
      <w:r w:rsidR="00956120" w:rsidRPr="00F57956">
        <w:rPr>
          <w:rFonts w:cs="Calibri"/>
          <w:color w:val="000000"/>
        </w:rPr>
        <w:t xml:space="preserve">in the Inner West Council area </w:t>
      </w:r>
      <w:r w:rsidR="007F4B53" w:rsidRPr="00F57956">
        <w:rPr>
          <w:rFonts w:cs="Calibri"/>
          <w:color w:val="000000"/>
        </w:rPr>
        <w:t xml:space="preserve">while business rates (in the business-general category) will be reduced by $600,000 overall. This will </w:t>
      </w:r>
      <w:bookmarkStart w:id="1" w:name="_Hlk54954146"/>
      <w:r w:rsidRPr="00F57956">
        <w:rPr>
          <w:rFonts w:cs="Calibri"/>
          <w:color w:val="000000"/>
        </w:rPr>
        <w:t xml:space="preserve">improve </w:t>
      </w:r>
      <w:r w:rsidR="007F4B53" w:rsidRPr="00F57956">
        <w:rPr>
          <w:rFonts w:cs="Calibri"/>
          <w:color w:val="000000"/>
        </w:rPr>
        <w:t xml:space="preserve">the </w:t>
      </w:r>
      <w:r w:rsidRPr="00F57956">
        <w:rPr>
          <w:rFonts w:cs="Calibri"/>
          <w:color w:val="000000"/>
        </w:rPr>
        <w:t>alignment between benefits received and rates paid.</w:t>
      </w:r>
      <w:bookmarkEnd w:id="1"/>
    </w:p>
    <w:p w14:paraId="11E19131" w14:textId="52633E9D" w:rsidR="00CC29D8" w:rsidRPr="00F57956" w:rsidRDefault="00CC29D8" w:rsidP="003D2547">
      <w:pPr>
        <w:pStyle w:val="Heading2"/>
        <w:rPr>
          <w:rFonts w:cstheme="minorHAnsi"/>
        </w:rPr>
      </w:pPr>
      <w:r w:rsidRPr="00F57956">
        <w:t xml:space="preserve">How can I provide feedback? </w:t>
      </w:r>
    </w:p>
    <w:p w14:paraId="36F89D4F" w14:textId="70252728" w:rsidR="00190B39" w:rsidRDefault="00AD7C35" w:rsidP="00CC29D8">
      <w:pPr>
        <w:pStyle w:val="NoSpacing"/>
        <w:rPr>
          <w:rFonts w:cstheme="minorHAnsi"/>
        </w:rPr>
      </w:pPr>
      <w:r w:rsidRPr="00F57956">
        <w:rPr>
          <w:rFonts w:cstheme="minorHAnsi"/>
        </w:rPr>
        <w:t xml:space="preserve">Tell us whether you support the proposed new structure including the minimum rate. </w:t>
      </w:r>
      <w:r w:rsidR="00B856AC" w:rsidRPr="00F57956">
        <w:t>Comments close 7 February 2021</w:t>
      </w:r>
      <w:r w:rsidR="00B856AC">
        <w:t>.</w:t>
      </w:r>
    </w:p>
    <w:p w14:paraId="2CAABEA6" w14:textId="0382F193" w:rsidR="00CC29D8" w:rsidRPr="00F57956" w:rsidRDefault="00CC29D8" w:rsidP="00CC29D8">
      <w:pPr>
        <w:pStyle w:val="NoSpacing"/>
        <w:rPr>
          <w:rFonts w:cstheme="minorHAnsi"/>
        </w:rPr>
      </w:pPr>
      <w:r w:rsidRPr="00F57956">
        <w:rPr>
          <w:rFonts w:cstheme="minorHAnsi"/>
        </w:rPr>
        <w:t xml:space="preserve">Have your say at </w:t>
      </w:r>
      <w:hyperlink r:id="rId19" w:history="1">
        <w:r w:rsidRPr="005306EF">
          <w:rPr>
            <w:rStyle w:val="Hyperlink"/>
            <w:rFonts w:cstheme="minorHAnsi"/>
          </w:rPr>
          <w:t>yoursay.innerwest.nsw.gov.au/my-rates</w:t>
        </w:r>
      </w:hyperlink>
      <w:r w:rsidR="00765494">
        <w:rPr>
          <w:rFonts w:cstheme="minorHAnsi"/>
        </w:rPr>
        <w:t xml:space="preserve"> </w:t>
      </w:r>
    </w:p>
    <w:p w14:paraId="764CA0EE" w14:textId="77777777" w:rsidR="00AE0C7F" w:rsidRDefault="00AE0C7F">
      <w:pPr>
        <w:spacing w:before="0" w:after="160"/>
        <w:rPr>
          <w:rFonts w:eastAsia="Times New Roman" w:cs="Times New Roman"/>
          <w:b/>
          <w:bCs/>
          <w:sz w:val="32"/>
          <w:szCs w:val="36"/>
          <w:lang w:eastAsia="en-AU"/>
        </w:rPr>
      </w:pPr>
      <w:r>
        <w:br w:type="page"/>
      </w:r>
    </w:p>
    <w:p w14:paraId="623993BC" w14:textId="2B40F6E6" w:rsidR="00F72103" w:rsidRPr="00F57956" w:rsidRDefault="00F72103" w:rsidP="003D2547">
      <w:pPr>
        <w:pStyle w:val="Heading2"/>
        <w:rPr>
          <w:rFonts w:cstheme="minorHAnsi"/>
        </w:rPr>
      </w:pPr>
      <w:r w:rsidRPr="00F57956">
        <w:lastRenderedPageBreak/>
        <w:t>What happens next?</w:t>
      </w:r>
    </w:p>
    <w:p w14:paraId="55E577ED" w14:textId="35E8AFC8" w:rsidR="00F72103" w:rsidRPr="00F57956" w:rsidRDefault="00F72103" w:rsidP="00F72103">
      <w:pPr>
        <w:pStyle w:val="NoSpacing"/>
        <w:rPr>
          <w:rFonts w:cs="Calibri"/>
          <w:color w:val="000000"/>
          <w:shd w:val="clear" w:color="auto" w:fill="FFFFFF"/>
        </w:rPr>
      </w:pPr>
      <w:r w:rsidRPr="00F57956">
        <w:rPr>
          <w:rFonts w:cs="Calibri"/>
          <w:color w:val="000000"/>
          <w:shd w:val="clear" w:color="auto" w:fill="FFFFFF"/>
        </w:rPr>
        <w:t>Council officers will collat</w:t>
      </w:r>
      <w:r w:rsidR="00B92B08" w:rsidRPr="00F57956">
        <w:rPr>
          <w:rFonts w:cs="Calibri"/>
          <w:color w:val="000000"/>
          <w:shd w:val="clear" w:color="auto" w:fill="FFFFFF"/>
        </w:rPr>
        <w:t xml:space="preserve">e feedback </w:t>
      </w:r>
      <w:r w:rsidRPr="00F57956">
        <w:rPr>
          <w:rFonts w:cs="Calibri"/>
          <w:color w:val="000000"/>
          <w:shd w:val="clear" w:color="auto" w:fill="FFFFFF"/>
        </w:rPr>
        <w:t xml:space="preserve">into an Engagement Outcomes Report which will be published on </w:t>
      </w:r>
      <w:r w:rsidR="00B92B08" w:rsidRPr="00F57956">
        <w:rPr>
          <w:rFonts w:cs="Calibri"/>
          <w:color w:val="000000"/>
          <w:shd w:val="clear" w:color="auto" w:fill="FFFFFF"/>
        </w:rPr>
        <w:t>Your Say Inner West</w:t>
      </w:r>
      <w:r w:rsidR="00941931" w:rsidRPr="00F57956">
        <w:rPr>
          <w:rFonts w:cs="Calibri"/>
          <w:color w:val="000000"/>
          <w:shd w:val="clear" w:color="auto" w:fill="FFFFFF"/>
        </w:rPr>
        <w:t xml:space="preserve">. The </w:t>
      </w:r>
      <w:r w:rsidR="00B92B08" w:rsidRPr="00F57956">
        <w:rPr>
          <w:rFonts w:cs="Calibri"/>
          <w:color w:val="000000"/>
          <w:shd w:val="clear" w:color="auto" w:fill="FFFFFF"/>
        </w:rPr>
        <w:t xml:space="preserve">elected </w:t>
      </w:r>
      <w:r w:rsidRPr="00F57956">
        <w:rPr>
          <w:rFonts w:cs="Calibri"/>
          <w:color w:val="000000"/>
          <w:shd w:val="clear" w:color="auto" w:fill="FFFFFF"/>
        </w:rPr>
        <w:t xml:space="preserve">Council </w:t>
      </w:r>
      <w:r w:rsidR="00941931" w:rsidRPr="00F57956">
        <w:rPr>
          <w:rFonts w:cs="Calibri"/>
          <w:color w:val="000000"/>
          <w:shd w:val="clear" w:color="auto" w:fill="FFFFFF"/>
        </w:rPr>
        <w:t xml:space="preserve">will </w:t>
      </w:r>
      <w:r w:rsidR="00AD7C35" w:rsidRPr="00F57956">
        <w:rPr>
          <w:rFonts w:cs="Calibri"/>
          <w:color w:val="000000"/>
          <w:shd w:val="clear" w:color="auto" w:fill="FFFFFF"/>
        </w:rPr>
        <w:t>consider the matter at its meeting in February 2021</w:t>
      </w:r>
      <w:r w:rsidRPr="00F57956">
        <w:rPr>
          <w:rFonts w:cs="Calibri"/>
          <w:color w:val="000000"/>
          <w:shd w:val="clear" w:color="auto" w:fill="FFFFFF"/>
        </w:rPr>
        <w:t>. Everyone who provides feedback will be notified of the</w:t>
      </w:r>
      <w:r w:rsidR="00AD7C35" w:rsidRPr="00F57956">
        <w:rPr>
          <w:rFonts w:cs="Calibri"/>
          <w:color w:val="000000"/>
          <w:shd w:val="clear" w:color="auto" w:fill="FFFFFF"/>
        </w:rPr>
        <w:t xml:space="preserve"> meeting</w:t>
      </w:r>
      <w:r w:rsidRPr="00F57956">
        <w:rPr>
          <w:rFonts w:cs="Calibri"/>
          <w:color w:val="000000"/>
          <w:shd w:val="clear" w:color="auto" w:fill="FFFFFF"/>
        </w:rPr>
        <w:t xml:space="preserve"> date</w:t>
      </w:r>
      <w:r w:rsidR="00AD7C35" w:rsidRPr="00F57956">
        <w:rPr>
          <w:rFonts w:cs="Calibri"/>
          <w:color w:val="000000"/>
          <w:shd w:val="clear" w:color="auto" w:fill="FFFFFF"/>
        </w:rPr>
        <w:t>.</w:t>
      </w:r>
    </w:p>
    <w:p w14:paraId="2446149E" w14:textId="05652BC3" w:rsidR="00EC4A65" w:rsidRDefault="00F72103" w:rsidP="00EC4A65">
      <w:pPr>
        <w:pStyle w:val="NoSpacing"/>
        <w:rPr>
          <w:rFonts w:eastAsia="Times New Roman" w:cs="Times New Roman"/>
          <w:b/>
          <w:bCs/>
          <w:sz w:val="32"/>
          <w:szCs w:val="36"/>
          <w:lang w:eastAsia="en-AU"/>
        </w:rPr>
      </w:pPr>
      <w:r w:rsidRPr="00F57956">
        <w:rPr>
          <w:rFonts w:cs="Calibri"/>
          <w:color w:val="000000"/>
          <w:shd w:val="clear" w:color="auto" w:fill="FFFFFF"/>
        </w:rPr>
        <w:t>If adopted</w:t>
      </w:r>
      <w:r w:rsidR="00CB6C95" w:rsidRPr="00F57956">
        <w:rPr>
          <w:rFonts w:cs="Calibri"/>
          <w:color w:val="000000"/>
          <w:shd w:val="clear" w:color="auto" w:fill="FFFFFF"/>
        </w:rPr>
        <w:t>,</w:t>
      </w:r>
      <w:r w:rsidRPr="00F57956">
        <w:rPr>
          <w:rFonts w:cs="Calibri"/>
          <w:color w:val="000000"/>
          <w:shd w:val="clear" w:color="auto" w:fill="FFFFFF"/>
        </w:rPr>
        <w:t xml:space="preserve"> Council </w:t>
      </w:r>
      <w:r w:rsidR="00CB6C95" w:rsidRPr="00F57956">
        <w:rPr>
          <w:rFonts w:cs="Calibri"/>
          <w:color w:val="000000"/>
          <w:shd w:val="clear" w:color="auto" w:fill="FFFFFF"/>
        </w:rPr>
        <w:t>will apply</w:t>
      </w:r>
      <w:r w:rsidRPr="00F57956">
        <w:rPr>
          <w:rFonts w:cs="Calibri"/>
          <w:color w:val="000000"/>
          <w:shd w:val="clear" w:color="auto" w:fill="FFFFFF"/>
        </w:rPr>
        <w:t xml:space="preserve"> to </w:t>
      </w:r>
      <w:hyperlink r:id="rId20" w:history="1">
        <w:r w:rsidRPr="00307192">
          <w:rPr>
            <w:rStyle w:val="Hyperlink"/>
            <w:rFonts w:cs="Calibri"/>
            <w:shd w:val="clear" w:color="auto" w:fill="FFFFFF"/>
          </w:rPr>
          <w:t>IPART</w:t>
        </w:r>
      </w:hyperlink>
      <w:r w:rsidRPr="00F57956">
        <w:rPr>
          <w:rFonts w:cs="Calibri"/>
          <w:color w:val="000000"/>
          <w:shd w:val="clear" w:color="auto" w:fill="FFFFFF"/>
        </w:rPr>
        <w:t xml:space="preserve"> to approve the minimum rate. IPART will invite community feedback to inform its decision. </w:t>
      </w:r>
      <w:r w:rsidR="000A7933" w:rsidRPr="00F57956">
        <w:rPr>
          <w:rFonts w:cs="Calibri"/>
          <w:color w:val="000000"/>
          <w:shd w:val="clear" w:color="auto" w:fill="FFFFFF"/>
        </w:rPr>
        <w:t>The</w:t>
      </w:r>
      <w:r w:rsidRPr="00F57956">
        <w:rPr>
          <w:rFonts w:cs="Calibri"/>
          <w:color w:val="000000"/>
          <w:shd w:val="clear" w:color="auto" w:fill="FFFFFF"/>
        </w:rPr>
        <w:t xml:space="preserve"> new rating structure will come into effect on 1 July 2021.</w:t>
      </w:r>
      <w:r w:rsidRPr="00F57956">
        <w:rPr>
          <w:rFonts w:cs="Calibri"/>
          <w:b/>
          <w:bCs/>
        </w:rPr>
        <w:t xml:space="preserve"> </w:t>
      </w:r>
    </w:p>
    <w:p w14:paraId="2AE2C019" w14:textId="495385F0" w:rsidR="00F72103" w:rsidRPr="00F57956" w:rsidRDefault="00F72103" w:rsidP="003D2547">
      <w:pPr>
        <w:pStyle w:val="Heading2"/>
        <w:rPr>
          <w:rFonts w:cs="Calibri"/>
          <w:b w:val="0"/>
          <w:bCs w:val="0"/>
        </w:rPr>
      </w:pPr>
      <w:r w:rsidRPr="00F57956">
        <w:t xml:space="preserve">Need help? </w:t>
      </w:r>
    </w:p>
    <w:p w14:paraId="57F047D6" w14:textId="52F1E473" w:rsidR="00F72103" w:rsidRPr="00F57956" w:rsidRDefault="00F72103" w:rsidP="008E254E">
      <w:pPr>
        <w:pStyle w:val="Heading3"/>
      </w:pPr>
      <w:r w:rsidRPr="00F57956">
        <w:t>Enquiries</w:t>
      </w:r>
    </w:p>
    <w:p w14:paraId="108E4B1A" w14:textId="3B25EFA9" w:rsidR="00F72103" w:rsidRPr="00190B39" w:rsidRDefault="00F72103" w:rsidP="00F72103">
      <w:pPr>
        <w:pStyle w:val="NormalWeb"/>
        <w:shd w:val="clear" w:color="auto" w:fill="FFFFFF"/>
        <w:spacing w:before="0" w:beforeAutospacing="0" w:after="0" w:afterAutospacing="0" w:line="330" w:lineRule="atLeast"/>
        <w:rPr>
          <w:rStyle w:val="Strong"/>
          <w:rFonts w:ascii="Poppins" w:hAnsi="Poppins" w:cs="Calibri"/>
          <w:b w:val="0"/>
          <w:bCs w:val="0"/>
          <w:color w:val="000000"/>
          <w:sz w:val="22"/>
          <w:szCs w:val="22"/>
        </w:rPr>
      </w:pPr>
      <w:r w:rsidRPr="00F57956">
        <w:rPr>
          <w:rFonts w:ascii="Poppins" w:hAnsi="Poppins" w:cs="Calibri"/>
          <w:color w:val="000000"/>
          <w:sz w:val="22"/>
          <w:szCs w:val="22"/>
        </w:rPr>
        <w:t>Call Council's Rates information line on 02 9392 5859 or email </w:t>
      </w:r>
      <w:hyperlink r:id="rId21" w:history="1">
        <w:r w:rsidRPr="00F57956">
          <w:rPr>
            <w:rStyle w:val="Hyperlink"/>
            <w:rFonts w:ascii="Poppins" w:hAnsi="Poppins" w:cs="Calibri"/>
            <w:sz w:val="22"/>
            <w:szCs w:val="22"/>
          </w:rPr>
          <w:t>myrates@innerwest.nsw.gov.au</w:t>
        </w:r>
      </w:hyperlink>
    </w:p>
    <w:p w14:paraId="23DFA631" w14:textId="77777777" w:rsidR="00190B39" w:rsidRDefault="00F72103" w:rsidP="00190B39">
      <w:pPr>
        <w:pStyle w:val="NoSpacing"/>
        <w:spacing w:before="100" w:beforeAutospacing="1" w:after="100" w:afterAutospacing="1"/>
        <w:rPr>
          <w:b/>
          <w:bCs/>
        </w:rPr>
      </w:pPr>
      <w:r w:rsidRPr="008E254E">
        <w:rPr>
          <w:b/>
          <w:bCs/>
        </w:rPr>
        <w:t>If you have a hearing or speech impairment</w:t>
      </w:r>
      <w:r w:rsidR="00190B39">
        <w:rPr>
          <w:b/>
          <w:bCs/>
        </w:rPr>
        <w:t xml:space="preserve"> </w:t>
      </w:r>
    </w:p>
    <w:p w14:paraId="3DE3E9FB" w14:textId="4D1E70F1" w:rsidR="00F72103" w:rsidRPr="00F57956" w:rsidRDefault="00F72103" w:rsidP="00190B39">
      <w:pPr>
        <w:pStyle w:val="NoSpacing"/>
        <w:spacing w:before="100" w:beforeAutospacing="1" w:after="100" w:afterAutospacing="1"/>
      </w:pPr>
      <w:r w:rsidRPr="00F57956">
        <w:t>Contact us via the </w:t>
      </w:r>
      <w:hyperlink r:id="rId22" w:history="1">
        <w:r w:rsidRPr="00F57956">
          <w:rPr>
            <w:rStyle w:val="Hyperlink"/>
            <w:rFonts w:cs="Calibri"/>
            <w:color w:val="000000"/>
            <w:u w:val="none"/>
          </w:rPr>
          <w:t>National</w:t>
        </w:r>
      </w:hyperlink>
      <w:r w:rsidRPr="00F57956">
        <w:t xml:space="preserve"> Relay Service Monday to Friday 9am-4pm (Inner West Council Rates information line  02 9392 5859)</w:t>
      </w:r>
    </w:p>
    <w:p w14:paraId="6B940B3D" w14:textId="77777777" w:rsidR="00F72103" w:rsidRPr="008E254E" w:rsidRDefault="00F72103" w:rsidP="00190B39">
      <w:pPr>
        <w:pStyle w:val="ListParagraph"/>
        <w:numPr>
          <w:ilvl w:val="0"/>
          <w:numId w:val="14"/>
        </w:numPr>
        <w:shd w:val="clear" w:color="auto" w:fill="FFFFFF"/>
        <w:spacing w:before="100" w:beforeAutospacing="1" w:after="100" w:afterAutospacing="1" w:line="240" w:lineRule="auto"/>
        <w:rPr>
          <w:rFonts w:cs="Calibri"/>
          <w:color w:val="000000"/>
        </w:rPr>
      </w:pPr>
      <w:r w:rsidRPr="008E254E">
        <w:rPr>
          <w:rFonts w:cs="Calibri"/>
          <w:color w:val="000000"/>
        </w:rPr>
        <w:t>Voice Relay number: 1300 555 727</w:t>
      </w:r>
    </w:p>
    <w:p w14:paraId="298000D2" w14:textId="77777777" w:rsidR="00F72103" w:rsidRPr="008E254E" w:rsidRDefault="00F72103" w:rsidP="00190B39">
      <w:pPr>
        <w:pStyle w:val="ListParagraph"/>
        <w:numPr>
          <w:ilvl w:val="0"/>
          <w:numId w:val="14"/>
        </w:numPr>
        <w:shd w:val="clear" w:color="auto" w:fill="FFFFFF"/>
        <w:spacing w:before="100" w:beforeAutospacing="1" w:after="100" w:afterAutospacing="1" w:line="240" w:lineRule="auto"/>
        <w:rPr>
          <w:rFonts w:cs="Calibri"/>
          <w:color w:val="000000"/>
        </w:rPr>
      </w:pPr>
      <w:r w:rsidRPr="008E254E">
        <w:rPr>
          <w:rFonts w:cs="Calibri"/>
          <w:color w:val="000000"/>
        </w:rPr>
        <w:t>TTY number: 133 677</w:t>
      </w:r>
    </w:p>
    <w:p w14:paraId="2EAC543A" w14:textId="77777777" w:rsidR="00F72103" w:rsidRPr="008E254E" w:rsidRDefault="00F72103" w:rsidP="00190B39">
      <w:pPr>
        <w:pStyle w:val="ListParagraph"/>
        <w:numPr>
          <w:ilvl w:val="0"/>
          <w:numId w:val="14"/>
        </w:numPr>
        <w:shd w:val="clear" w:color="auto" w:fill="FFFFFF"/>
        <w:spacing w:before="100" w:beforeAutospacing="1" w:after="100" w:afterAutospacing="1" w:line="240" w:lineRule="auto"/>
        <w:rPr>
          <w:rFonts w:cs="Calibri"/>
          <w:color w:val="000000"/>
        </w:rPr>
      </w:pPr>
      <w:r w:rsidRPr="008E254E">
        <w:rPr>
          <w:rFonts w:cs="Calibri"/>
          <w:color w:val="000000"/>
        </w:rPr>
        <w:t>SMS relay number: 0423 677 767</w:t>
      </w:r>
    </w:p>
    <w:p w14:paraId="2199B19B" w14:textId="77777777" w:rsidR="00190B39" w:rsidRDefault="00F72103" w:rsidP="00190B39">
      <w:pPr>
        <w:pStyle w:val="NoSpacing"/>
        <w:spacing w:before="100" w:beforeAutospacing="1" w:after="100" w:afterAutospacing="1"/>
        <w:rPr>
          <w:rStyle w:val="Strong"/>
          <w:rFonts w:cs="Calibri"/>
          <w:color w:val="000000"/>
        </w:rPr>
      </w:pPr>
      <w:r w:rsidRPr="00F57956">
        <w:rPr>
          <w:rStyle w:val="Strong"/>
          <w:rFonts w:cs="Calibri"/>
          <w:color w:val="000000"/>
        </w:rPr>
        <w:t>If you would like a hard copy form posted to you or for help filling out the online form</w:t>
      </w:r>
    </w:p>
    <w:p w14:paraId="2F15FAB9" w14:textId="11BD2DFB" w:rsidR="00F72103" w:rsidRPr="00F57956" w:rsidRDefault="00F72103" w:rsidP="00190B39">
      <w:pPr>
        <w:pStyle w:val="NoSpacing"/>
        <w:spacing w:before="100" w:beforeAutospacing="1" w:after="100" w:afterAutospacing="1"/>
      </w:pPr>
      <w:r w:rsidRPr="00F57956">
        <w:rPr>
          <w:rStyle w:val="Strong"/>
          <w:rFonts w:cs="Calibri"/>
          <w:b w:val="0"/>
          <w:bCs w:val="0"/>
          <w:color w:val="000000"/>
        </w:rPr>
        <w:t>Contact Renata Krchnakova,</w:t>
      </w:r>
      <w:r w:rsidRPr="00F57956">
        <w:rPr>
          <w:rStyle w:val="Strong"/>
          <w:rFonts w:cs="Calibri"/>
          <w:color w:val="000000"/>
        </w:rPr>
        <w:t xml:space="preserve"> </w:t>
      </w:r>
      <w:r w:rsidRPr="00F57956">
        <w:rPr>
          <w:shd w:val="clear" w:color="auto" w:fill="FFFFFF"/>
        </w:rPr>
        <w:t>Engagement Officer on 9392 5501 or Annie Coulthard, Senior Engagement Specialist on 9392 5328.</w:t>
      </w:r>
      <w:r w:rsidRPr="00F57956">
        <w:rPr>
          <w:rStyle w:val="Strong"/>
          <w:rFonts w:cs="Calibri"/>
          <w:color w:val="000000"/>
        </w:rPr>
        <w:t xml:space="preserve"> </w:t>
      </w:r>
    </w:p>
    <w:sectPr w:rsidR="00F72103" w:rsidRPr="00F57956" w:rsidSect="002824FA">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4751" w14:textId="77777777" w:rsidR="00690424" w:rsidRDefault="00690424" w:rsidP="002824FA">
      <w:pPr>
        <w:spacing w:before="0" w:after="0" w:line="240" w:lineRule="auto"/>
      </w:pPr>
      <w:r>
        <w:separator/>
      </w:r>
    </w:p>
  </w:endnote>
  <w:endnote w:type="continuationSeparator" w:id="0">
    <w:p w14:paraId="37AE9074" w14:textId="77777777" w:rsidR="00690424" w:rsidRDefault="00690424" w:rsidP="002824FA">
      <w:pPr>
        <w:spacing w:before="0" w:after="0" w:line="240" w:lineRule="auto"/>
      </w:pPr>
      <w:r>
        <w:continuationSeparator/>
      </w:r>
    </w:p>
  </w:endnote>
  <w:endnote w:type="continuationNotice" w:id="1">
    <w:p w14:paraId="7A886B44" w14:textId="77777777" w:rsidR="00690424" w:rsidRDefault="006904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3D09" w14:textId="77777777" w:rsidR="00C20BB4" w:rsidRPr="00C20BB4" w:rsidRDefault="00C20BB4">
    <w:pPr>
      <w:pStyle w:val="Footer"/>
      <w:jc w:val="right"/>
      <w:rPr>
        <w:color w:val="000000" w:themeColor="text1"/>
      </w:rPr>
    </w:pPr>
    <w:r w:rsidRPr="00C20BB4">
      <w:rPr>
        <w:color w:val="000000" w:themeColor="text1"/>
        <w:sz w:val="20"/>
        <w:szCs w:val="20"/>
      </w:rPr>
      <w:t xml:space="preserve">pg. </w:t>
    </w:r>
    <w:r w:rsidRPr="00C20BB4">
      <w:rPr>
        <w:color w:val="000000" w:themeColor="text1"/>
        <w:sz w:val="20"/>
        <w:szCs w:val="20"/>
      </w:rPr>
      <w:fldChar w:fldCharType="begin"/>
    </w:r>
    <w:r w:rsidRPr="00C20BB4">
      <w:rPr>
        <w:color w:val="000000" w:themeColor="text1"/>
        <w:sz w:val="20"/>
        <w:szCs w:val="20"/>
      </w:rPr>
      <w:instrText xml:space="preserve"> PAGE  \* Arabic </w:instrText>
    </w:r>
    <w:r w:rsidRPr="00C20BB4">
      <w:rPr>
        <w:color w:val="000000" w:themeColor="text1"/>
        <w:sz w:val="20"/>
        <w:szCs w:val="20"/>
      </w:rPr>
      <w:fldChar w:fldCharType="separate"/>
    </w:r>
    <w:r w:rsidRPr="00C20BB4">
      <w:rPr>
        <w:noProof/>
        <w:color w:val="000000" w:themeColor="text1"/>
        <w:sz w:val="20"/>
        <w:szCs w:val="20"/>
      </w:rPr>
      <w:t>1</w:t>
    </w:r>
    <w:r w:rsidRPr="00C20BB4">
      <w:rPr>
        <w:color w:val="000000" w:themeColor="text1"/>
        <w:sz w:val="20"/>
        <w:szCs w:val="20"/>
      </w:rPr>
      <w:fldChar w:fldCharType="end"/>
    </w:r>
  </w:p>
  <w:p w14:paraId="0ED197AC" w14:textId="77777777" w:rsidR="00C20BB4" w:rsidRDefault="00C2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6E72" w14:textId="77777777" w:rsidR="00690424" w:rsidRDefault="00690424" w:rsidP="002824FA">
      <w:pPr>
        <w:spacing w:before="0" w:after="0" w:line="240" w:lineRule="auto"/>
      </w:pPr>
      <w:r>
        <w:separator/>
      </w:r>
    </w:p>
  </w:footnote>
  <w:footnote w:type="continuationSeparator" w:id="0">
    <w:p w14:paraId="7F748830" w14:textId="77777777" w:rsidR="00690424" w:rsidRDefault="00690424" w:rsidP="002824FA">
      <w:pPr>
        <w:spacing w:before="0" w:after="0" w:line="240" w:lineRule="auto"/>
      </w:pPr>
      <w:r>
        <w:continuationSeparator/>
      </w:r>
    </w:p>
  </w:footnote>
  <w:footnote w:type="continuationNotice" w:id="1">
    <w:p w14:paraId="03BEF94B" w14:textId="77777777" w:rsidR="00690424" w:rsidRDefault="0069042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693D" w14:textId="3828C226" w:rsidR="002824FA" w:rsidRDefault="110C7331">
    <w:pPr>
      <w:pStyle w:val="Header"/>
    </w:pPr>
    <w:r>
      <w:rPr>
        <w:noProof/>
      </w:rPr>
      <w:drawing>
        <wp:inline distT="0" distB="0" distL="0" distR="0" wp14:anchorId="0EAD0173" wp14:editId="7A5C854E">
          <wp:extent cx="5731200" cy="709200"/>
          <wp:effectExtent l="0" t="0" r="317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200" cy="70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B0"/>
    <w:multiLevelType w:val="hybridMultilevel"/>
    <w:tmpl w:val="EF96E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80FC0"/>
    <w:multiLevelType w:val="hybridMultilevel"/>
    <w:tmpl w:val="E8F4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B1FE9"/>
    <w:multiLevelType w:val="hybridMultilevel"/>
    <w:tmpl w:val="B268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6312D"/>
    <w:multiLevelType w:val="hybridMultilevel"/>
    <w:tmpl w:val="8D6CFCD0"/>
    <w:lvl w:ilvl="0" w:tplc="EE10625C">
      <w:start w:val="1"/>
      <w:numFmt w:val="bullet"/>
      <w:lvlText w:val=""/>
      <w:lvlJc w:val="left"/>
      <w:pPr>
        <w:tabs>
          <w:tab w:val="num" w:pos="720"/>
        </w:tabs>
        <w:ind w:left="720" w:hanging="360"/>
      </w:pPr>
      <w:rPr>
        <w:rFonts w:ascii="Symbol" w:hAnsi="Symbol" w:hint="default"/>
        <w:sz w:val="20"/>
      </w:rPr>
    </w:lvl>
    <w:lvl w:ilvl="1" w:tplc="D77E9458" w:tentative="1">
      <w:start w:val="1"/>
      <w:numFmt w:val="bullet"/>
      <w:lvlText w:val=""/>
      <w:lvlJc w:val="left"/>
      <w:pPr>
        <w:tabs>
          <w:tab w:val="num" w:pos="1440"/>
        </w:tabs>
        <w:ind w:left="1440" w:hanging="360"/>
      </w:pPr>
      <w:rPr>
        <w:rFonts w:ascii="Symbol" w:hAnsi="Symbol" w:hint="default"/>
        <w:sz w:val="20"/>
      </w:rPr>
    </w:lvl>
    <w:lvl w:ilvl="2" w:tplc="8FBEE9BE" w:tentative="1">
      <w:start w:val="1"/>
      <w:numFmt w:val="bullet"/>
      <w:lvlText w:val=""/>
      <w:lvlJc w:val="left"/>
      <w:pPr>
        <w:tabs>
          <w:tab w:val="num" w:pos="2160"/>
        </w:tabs>
        <w:ind w:left="2160" w:hanging="360"/>
      </w:pPr>
      <w:rPr>
        <w:rFonts w:ascii="Symbol" w:hAnsi="Symbol" w:hint="default"/>
        <w:sz w:val="20"/>
      </w:rPr>
    </w:lvl>
    <w:lvl w:ilvl="3" w:tplc="E5C69A38" w:tentative="1">
      <w:start w:val="1"/>
      <w:numFmt w:val="bullet"/>
      <w:lvlText w:val=""/>
      <w:lvlJc w:val="left"/>
      <w:pPr>
        <w:tabs>
          <w:tab w:val="num" w:pos="2880"/>
        </w:tabs>
        <w:ind w:left="2880" w:hanging="360"/>
      </w:pPr>
      <w:rPr>
        <w:rFonts w:ascii="Symbol" w:hAnsi="Symbol" w:hint="default"/>
        <w:sz w:val="20"/>
      </w:rPr>
    </w:lvl>
    <w:lvl w:ilvl="4" w:tplc="06869EAC" w:tentative="1">
      <w:start w:val="1"/>
      <w:numFmt w:val="bullet"/>
      <w:lvlText w:val=""/>
      <w:lvlJc w:val="left"/>
      <w:pPr>
        <w:tabs>
          <w:tab w:val="num" w:pos="3600"/>
        </w:tabs>
        <w:ind w:left="3600" w:hanging="360"/>
      </w:pPr>
      <w:rPr>
        <w:rFonts w:ascii="Symbol" w:hAnsi="Symbol" w:hint="default"/>
        <w:sz w:val="20"/>
      </w:rPr>
    </w:lvl>
    <w:lvl w:ilvl="5" w:tplc="B78E4556" w:tentative="1">
      <w:start w:val="1"/>
      <w:numFmt w:val="bullet"/>
      <w:lvlText w:val=""/>
      <w:lvlJc w:val="left"/>
      <w:pPr>
        <w:tabs>
          <w:tab w:val="num" w:pos="4320"/>
        </w:tabs>
        <w:ind w:left="4320" w:hanging="360"/>
      </w:pPr>
      <w:rPr>
        <w:rFonts w:ascii="Symbol" w:hAnsi="Symbol" w:hint="default"/>
        <w:sz w:val="20"/>
      </w:rPr>
    </w:lvl>
    <w:lvl w:ilvl="6" w:tplc="54CC7F70" w:tentative="1">
      <w:start w:val="1"/>
      <w:numFmt w:val="bullet"/>
      <w:lvlText w:val=""/>
      <w:lvlJc w:val="left"/>
      <w:pPr>
        <w:tabs>
          <w:tab w:val="num" w:pos="5040"/>
        </w:tabs>
        <w:ind w:left="5040" w:hanging="360"/>
      </w:pPr>
      <w:rPr>
        <w:rFonts w:ascii="Symbol" w:hAnsi="Symbol" w:hint="default"/>
        <w:sz w:val="20"/>
      </w:rPr>
    </w:lvl>
    <w:lvl w:ilvl="7" w:tplc="5D641BB6" w:tentative="1">
      <w:start w:val="1"/>
      <w:numFmt w:val="bullet"/>
      <w:lvlText w:val=""/>
      <w:lvlJc w:val="left"/>
      <w:pPr>
        <w:tabs>
          <w:tab w:val="num" w:pos="5760"/>
        </w:tabs>
        <w:ind w:left="5760" w:hanging="360"/>
      </w:pPr>
      <w:rPr>
        <w:rFonts w:ascii="Symbol" w:hAnsi="Symbol" w:hint="default"/>
        <w:sz w:val="20"/>
      </w:rPr>
    </w:lvl>
    <w:lvl w:ilvl="8" w:tplc="6964C0A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63A27"/>
    <w:multiLevelType w:val="hybridMultilevel"/>
    <w:tmpl w:val="4B7EB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4D1D3E"/>
    <w:multiLevelType w:val="hybridMultilevel"/>
    <w:tmpl w:val="1CB8289A"/>
    <w:lvl w:ilvl="0" w:tplc="EB744F62">
      <w:start w:val="1"/>
      <w:numFmt w:val="bullet"/>
      <w:lvlText w:val=""/>
      <w:lvlJc w:val="left"/>
      <w:pPr>
        <w:tabs>
          <w:tab w:val="num" w:pos="720"/>
        </w:tabs>
        <w:ind w:left="720" w:hanging="360"/>
      </w:pPr>
      <w:rPr>
        <w:rFonts w:ascii="Symbol" w:hAnsi="Symbol" w:hint="default"/>
        <w:sz w:val="20"/>
      </w:rPr>
    </w:lvl>
    <w:lvl w:ilvl="1" w:tplc="CC102D2E" w:tentative="1">
      <w:start w:val="1"/>
      <w:numFmt w:val="bullet"/>
      <w:lvlText w:val=""/>
      <w:lvlJc w:val="left"/>
      <w:pPr>
        <w:tabs>
          <w:tab w:val="num" w:pos="1440"/>
        </w:tabs>
        <w:ind w:left="1440" w:hanging="360"/>
      </w:pPr>
      <w:rPr>
        <w:rFonts w:ascii="Symbol" w:hAnsi="Symbol" w:hint="default"/>
        <w:sz w:val="20"/>
      </w:rPr>
    </w:lvl>
    <w:lvl w:ilvl="2" w:tplc="9C98133E" w:tentative="1">
      <w:start w:val="1"/>
      <w:numFmt w:val="bullet"/>
      <w:lvlText w:val=""/>
      <w:lvlJc w:val="left"/>
      <w:pPr>
        <w:tabs>
          <w:tab w:val="num" w:pos="2160"/>
        </w:tabs>
        <w:ind w:left="2160" w:hanging="360"/>
      </w:pPr>
      <w:rPr>
        <w:rFonts w:ascii="Symbol" w:hAnsi="Symbol" w:hint="default"/>
        <w:sz w:val="20"/>
      </w:rPr>
    </w:lvl>
    <w:lvl w:ilvl="3" w:tplc="90A0E1BA" w:tentative="1">
      <w:start w:val="1"/>
      <w:numFmt w:val="bullet"/>
      <w:lvlText w:val=""/>
      <w:lvlJc w:val="left"/>
      <w:pPr>
        <w:tabs>
          <w:tab w:val="num" w:pos="2880"/>
        </w:tabs>
        <w:ind w:left="2880" w:hanging="360"/>
      </w:pPr>
      <w:rPr>
        <w:rFonts w:ascii="Symbol" w:hAnsi="Symbol" w:hint="default"/>
        <w:sz w:val="20"/>
      </w:rPr>
    </w:lvl>
    <w:lvl w:ilvl="4" w:tplc="2A986C76" w:tentative="1">
      <w:start w:val="1"/>
      <w:numFmt w:val="bullet"/>
      <w:lvlText w:val=""/>
      <w:lvlJc w:val="left"/>
      <w:pPr>
        <w:tabs>
          <w:tab w:val="num" w:pos="3600"/>
        </w:tabs>
        <w:ind w:left="3600" w:hanging="360"/>
      </w:pPr>
      <w:rPr>
        <w:rFonts w:ascii="Symbol" w:hAnsi="Symbol" w:hint="default"/>
        <w:sz w:val="20"/>
      </w:rPr>
    </w:lvl>
    <w:lvl w:ilvl="5" w:tplc="5A3AC15A" w:tentative="1">
      <w:start w:val="1"/>
      <w:numFmt w:val="bullet"/>
      <w:lvlText w:val=""/>
      <w:lvlJc w:val="left"/>
      <w:pPr>
        <w:tabs>
          <w:tab w:val="num" w:pos="4320"/>
        </w:tabs>
        <w:ind w:left="4320" w:hanging="360"/>
      </w:pPr>
      <w:rPr>
        <w:rFonts w:ascii="Symbol" w:hAnsi="Symbol" w:hint="default"/>
        <w:sz w:val="20"/>
      </w:rPr>
    </w:lvl>
    <w:lvl w:ilvl="6" w:tplc="43F6B3C8" w:tentative="1">
      <w:start w:val="1"/>
      <w:numFmt w:val="bullet"/>
      <w:lvlText w:val=""/>
      <w:lvlJc w:val="left"/>
      <w:pPr>
        <w:tabs>
          <w:tab w:val="num" w:pos="5040"/>
        </w:tabs>
        <w:ind w:left="5040" w:hanging="360"/>
      </w:pPr>
      <w:rPr>
        <w:rFonts w:ascii="Symbol" w:hAnsi="Symbol" w:hint="default"/>
        <w:sz w:val="20"/>
      </w:rPr>
    </w:lvl>
    <w:lvl w:ilvl="7" w:tplc="A9EC331C" w:tentative="1">
      <w:start w:val="1"/>
      <w:numFmt w:val="bullet"/>
      <w:lvlText w:val=""/>
      <w:lvlJc w:val="left"/>
      <w:pPr>
        <w:tabs>
          <w:tab w:val="num" w:pos="5760"/>
        </w:tabs>
        <w:ind w:left="5760" w:hanging="360"/>
      </w:pPr>
      <w:rPr>
        <w:rFonts w:ascii="Symbol" w:hAnsi="Symbol" w:hint="default"/>
        <w:sz w:val="20"/>
      </w:rPr>
    </w:lvl>
    <w:lvl w:ilvl="8" w:tplc="1D801D7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122626"/>
    <w:multiLevelType w:val="hybridMultilevel"/>
    <w:tmpl w:val="519C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E7C1F"/>
    <w:multiLevelType w:val="hybridMultilevel"/>
    <w:tmpl w:val="22DEF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0C2FE3"/>
    <w:multiLevelType w:val="hybridMultilevel"/>
    <w:tmpl w:val="9FE4795C"/>
    <w:lvl w:ilvl="0" w:tplc="8640AA64">
      <w:start w:val="1"/>
      <w:numFmt w:val="bullet"/>
      <w:lvlText w:val=""/>
      <w:lvlJc w:val="left"/>
      <w:pPr>
        <w:tabs>
          <w:tab w:val="num" w:pos="2160"/>
        </w:tabs>
        <w:ind w:left="2160" w:hanging="360"/>
      </w:pPr>
      <w:rPr>
        <w:rFonts w:ascii="Symbol" w:hAnsi="Symbol" w:hint="default"/>
        <w:sz w:val="20"/>
      </w:rPr>
    </w:lvl>
    <w:lvl w:ilvl="1" w:tplc="396EC47C" w:tentative="1">
      <w:start w:val="1"/>
      <w:numFmt w:val="bullet"/>
      <w:lvlText w:val=""/>
      <w:lvlJc w:val="left"/>
      <w:pPr>
        <w:tabs>
          <w:tab w:val="num" w:pos="2880"/>
        </w:tabs>
        <w:ind w:left="2880" w:hanging="360"/>
      </w:pPr>
      <w:rPr>
        <w:rFonts w:ascii="Symbol" w:hAnsi="Symbol" w:hint="default"/>
        <w:sz w:val="20"/>
      </w:rPr>
    </w:lvl>
    <w:lvl w:ilvl="2" w:tplc="4D726CC0" w:tentative="1">
      <w:start w:val="1"/>
      <w:numFmt w:val="bullet"/>
      <w:lvlText w:val=""/>
      <w:lvlJc w:val="left"/>
      <w:pPr>
        <w:tabs>
          <w:tab w:val="num" w:pos="3600"/>
        </w:tabs>
        <w:ind w:left="3600" w:hanging="360"/>
      </w:pPr>
      <w:rPr>
        <w:rFonts w:ascii="Symbol" w:hAnsi="Symbol" w:hint="default"/>
        <w:sz w:val="20"/>
      </w:rPr>
    </w:lvl>
    <w:lvl w:ilvl="3" w:tplc="8712334E" w:tentative="1">
      <w:start w:val="1"/>
      <w:numFmt w:val="bullet"/>
      <w:lvlText w:val=""/>
      <w:lvlJc w:val="left"/>
      <w:pPr>
        <w:tabs>
          <w:tab w:val="num" w:pos="4320"/>
        </w:tabs>
        <w:ind w:left="4320" w:hanging="360"/>
      </w:pPr>
      <w:rPr>
        <w:rFonts w:ascii="Symbol" w:hAnsi="Symbol" w:hint="default"/>
        <w:sz w:val="20"/>
      </w:rPr>
    </w:lvl>
    <w:lvl w:ilvl="4" w:tplc="9A8EC314" w:tentative="1">
      <w:start w:val="1"/>
      <w:numFmt w:val="bullet"/>
      <w:lvlText w:val=""/>
      <w:lvlJc w:val="left"/>
      <w:pPr>
        <w:tabs>
          <w:tab w:val="num" w:pos="5040"/>
        </w:tabs>
        <w:ind w:left="5040" w:hanging="360"/>
      </w:pPr>
      <w:rPr>
        <w:rFonts w:ascii="Symbol" w:hAnsi="Symbol" w:hint="default"/>
        <w:sz w:val="20"/>
      </w:rPr>
    </w:lvl>
    <w:lvl w:ilvl="5" w:tplc="4EA47D7E" w:tentative="1">
      <w:start w:val="1"/>
      <w:numFmt w:val="bullet"/>
      <w:lvlText w:val=""/>
      <w:lvlJc w:val="left"/>
      <w:pPr>
        <w:tabs>
          <w:tab w:val="num" w:pos="5760"/>
        </w:tabs>
        <w:ind w:left="5760" w:hanging="360"/>
      </w:pPr>
      <w:rPr>
        <w:rFonts w:ascii="Symbol" w:hAnsi="Symbol" w:hint="default"/>
        <w:sz w:val="20"/>
      </w:rPr>
    </w:lvl>
    <w:lvl w:ilvl="6" w:tplc="EB0E28BC" w:tentative="1">
      <w:start w:val="1"/>
      <w:numFmt w:val="bullet"/>
      <w:lvlText w:val=""/>
      <w:lvlJc w:val="left"/>
      <w:pPr>
        <w:tabs>
          <w:tab w:val="num" w:pos="6480"/>
        </w:tabs>
        <w:ind w:left="6480" w:hanging="360"/>
      </w:pPr>
      <w:rPr>
        <w:rFonts w:ascii="Symbol" w:hAnsi="Symbol" w:hint="default"/>
        <w:sz w:val="20"/>
      </w:rPr>
    </w:lvl>
    <w:lvl w:ilvl="7" w:tplc="3F12FB3E" w:tentative="1">
      <w:start w:val="1"/>
      <w:numFmt w:val="bullet"/>
      <w:lvlText w:val=""/>
      <w:lvlJc w:val="left"/>
      <w:pPr>
        <w:tabs>
          <w:tab w:val="num" w:pos="7200"/>
        </w:tabs>
        <w:ind w:left="7200" w:hanging="360"/>
      </w:pPr>
      <w:rPr>
        <w:rFonts w:ascii="Symbol" w:hAnsi="Symbol" w:hint="default"/>
        <w:sz w:val="20"/>
      </w:rPr>
    </w:lvl>
    <w:lvl w:ilvl="8" w:tplc="0C0C91CE"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4D866484"/>
    <w:multiLevelType w:val="hybridMultilevel"/>
    <w:tmpl w:val="B58E96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4CB38FD"/>
    <w:multiLevelType w:val="hybridMultilevel"/>
    <w:tmpl w:val="90F48BA6"/>
    <w:lvl w:ilvl="0" w:tplc="5EF6662E">
      <w:numFmt w:val="bullet"/>
      <w:lvlText w:val="-"/>
      <w:lvlJc w:val="left"/>
      <w:pPr>
        <w:ind w:left="403" w:hanging="360"/>
      </w:pPr>
      <w:rPr>
        <w:rFonts w:ascii="Calibri" w:eastAsiaTheme="minorHAnsi" w:hAnsi="Calibri" w:cs="Calibri" w:hint="default"/>
      </w:rPr>
    </w:lvl>
    <w:lvl w:ilvl="1" w:tplc="0C090003" w:tentative="1">
      <w:start w:val="1"/>
      <w:numFmt w:val="bullet"/>
      <w:lvlText w:val="o"/>
      <w:lvlJc w:val="left"/>
      <w:pPr>
        <w:ind w:left="1123" w:hanging="360"/>
      </w:pPr>
      <w:rPr>
        <w:rFonts w:ascii="Courier New" w:hAnsi="Courier New" w:cs="Courier New" w:hint="default"/>
      </w:rPr>
    </w:lvl>
    <w:lvl w:ilvl="2" w:tplc="0C090005" w:tentative="1">
      <w:start w:val="1"/>
      <w:numFmt w:val="bullet"/>
      <w:lvlText w:val=""/>
      <w:lvlJc w:val="left"/>
      <w:pPr>
        <w:ind w:left="1843" w:hanging="360"/>
      </w:pPr>
      <w:rPr>
        <w:rFonts w:ascii="Wingdings" w:hAnsi="Wingdings" w:hint="default"/>
      </w:rPr>
    </w:lvl>
    <w:lvl w:ilvl="3" w:tplc="0C090001" w:tentative="1">
      <w:start w:val="1"/>
      <w:numFmt w:val="bullet"/>
      <w:lvlText w:val=""/>
      <w:lvlJc w:val="left"/>
      <w:pPr>
        <w:ind w:left="2563" w:hanging="360"/>
      </w:pPr>
      <w:rPr>
        <w:rFonts w:ascii="Symbol" w:hAnsi="Symbol" w:hint="default"/>
      </w:rPr>
    </w:lvl>
    <w:lvl w:ilvl="4" w:tplc="0C090003" w:tentative="1">
      <w:start w:val="1"/>
      <w:numFmt w:val="bullet"/>
      <w:lvlText w:val="o"/>
      <w:lvlJc w:val="left"/>
      <w:pPr>
        <w:ind w:left="3283" w:hanging="360"/>
      </w:pPr>
      <w:rPr>
        <w:rFonts w:ascii="Courier New" w:hAnsi="Courier New" w:cs="Courier New" w:hint="default"/>
      </w:rPr>
    </w:lvl>
    <w:lvl w:ilvl="5" w:tplc="0C090005" w:tentative="1">
      <w:start w:val="1"/>
      <w:numFmt w:val="bullet"/>
      <w:lvlText w:val=""/>
      <w:lvlJc w:val="left"/>
      <w:pPr>
        <w:ind w:left="4003" w:hanging="360"/>
      </w:pPr>
      <w:rPr>
        <w:rFonts w:ascii="Wingdings" w:hAnsi="Wingdings" w:hint="default"/>
      </w:rPr>
    </w:lvl>
    <w:lvl w:ilvl="6" w:tplc="0C090001" w:tentative="1">
      <w:start w:val="1"/>
      <w:numFmt w:val="bullet"/>
      <w:lvlText w:val=""/>
      <w:lvlJc w:val="left"/>
      <w:pPr>
        <w:ind w:left="4723" w:hanging="360"/>
      </w:pPr>
      <w:rPr>
        <w:rFonts w:ascii="Symbol" w:hAnsi="Symbol" w:hint="default"/>
      </w:rPr>
    </w:lvl>
    <w:lvl w:ilvl="7" w:tplc="0C090003" w:tentative="1">
      <w:start w:val="1"/>
      <w:numFmt w:val="bullet"/>
      <w:lvlText w:val="o"/>
      <w:lvlJc w:val="left"/>
      <w:pPr>
        <w:ind w:left="5443" w:hanging="360"/>
      </w:pPr>
      <w:rPr>
        <w:rFonts w:ascii="Courier New" w:hAnsi="Courier New" w:cs="Courier New" w:hint="default"/>
      </w:rPr>
    </w:lvl>
    <w:lvl w:ilvl="8" w:tplc="0C090005" w:tentative="1">
      <w:start w:val="1"/>
      <w:numFmt w:val="bullet"/>
      <w:lvlText w:val=""/>
      <w:lvlJc w:val="left"/>
      <w:pPr>
        <w:ind w:left="6163" w:hanging="360"/>
      </w:pPr>
      <w:rPr>
        <w:rFonts w:ascii="Wingdings" w:hAnsi="Wingdings" w:hint="default"/>
      </w:rPr>
    </w:lvl>
  </w:abstractNum>
  <w:abstractNum w:abstractNumId="11" w15:restartNumberingAfterBreak="0">
    <w:nsid w:val="550D2630"/>
    <w:multiLevelType w:val="hybridMultilevel"/>
    <w:tmpl w:val="7E9C9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973776"/>
    <w:multiLevelType w:val="hybridMultilevel"/>
    <w:tmpl w:val="DB804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473EDB"/>
    <w:multiLevelType w:val="hybridMultilevel"/>
    <w:tmpl w:val="1AEC3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D73BDE"/>
    <w:multiLevelType w:val="hybridMultilevel"/>
    <w:tmpl w:val="F02C7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8666A"/>
    <w:multiLevelType w:val="hybridMultilevel"/>
    <w:tmpl w:val="5822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14"/>
  </w:num>
  <w:num w:numId="6">
    <w:abstractNumId w:val="9"/>
  </w:num>
  <w:num w:numId="7">
    <w:abstractNumId w:val="0"/>
  </w:num>
  <w:num w:numId="8">
    <w:abstractNumId w:val="15"/>
  </w:num>
  <w:num w:numId="9">
    <w:abstractNumId w:val="11"/>
  </w:num>
  <w:num w:numId="10">
    <w:abstractNumId w:val="6"/>
  </w:num>
  <w:num w:numId="11">
    <w:abstractNumId w:val="13"/>
  </w:num>
  <w:num w:numId="12">
    <w:abstractNumId w:val="8"/>
  </w:num>
  <w:num w:numId="13">
    <w:abstractNumId w:val="10"/>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4D"/>
    <w:rsid w:val="00021F93"/>
    <w:rsid w:val="00026FA6"/>
    <w:rsid w:val="0002714F"/>
    <w:rsid w:val="00032EA4"/>
    <w:rsid w:val="00050D64"/>
    <w:rsid w:val="00057998"/>
    <w:rsid w:val="00062EB7"/>
    <w:rsid w:val="000701FD"/>
    <w:rsid w:val="0007039C"/>
    <w:rsid w:val="000724E8"/>
    <w:rsid w:val="000746CA"/>
    <w:rsid w:val="0007588D"/>
    <w:rsid w:val="00090F5C"/>
    <w:rsid w:val="000A13FB"/>
    <w:rsid w:val="000A1AA9"/>
    <w:rsid w:val="000A7933"/>
    <w:rsid w:val="000B34FB"/>
    <w:rsid w:val="000C4834"/>
    <w:rsid w:val="000D60F1"/>
    <w:rsid w:val="00110F11"/>
    <w:rsid w:val="0013357B"/>
    <w:rsid w:val="001402FD"/>
    <w:rsid w:val="001428B6"/>
    <w:rsid w:val="00144A84"/>
    <w:rsid w:val="00150FF0"/>
    <w:rsid w:val="00156BE7"/>
    <w:rsid w:val="0017215D"/>
    <w:rsid w:val="0018085C"/>
    <w:rsid w:val="00190B39"/>
    <w:rsid w:val="00194619"/>
    <w:rsid w:val="001A0A72"/>
    <w:rsid w:val="001B6160"/>
    <w:rsid w:val="001C5FDB"/>
    <w:rsid w:val="001C673F"/>
    <w:rsid w:val="001D71C9"/>
    <w:rsid w:val="001E47ED"/>
    <w:rsid w:val="001F4830"/>
    <w:rsid w:val="002137C7"/>
    <w:rsid w:val="002275E5"/>
    <w:rsid w:val="0023206B"/>
    <w:rsid w:val="002449A6"/>
    <w:rsid w:val="00255609"/>
    <w:rsid w:val="00256A4C"/>
    <w:rsid w:val="0026630E"/>
    <w:rsid w:val="002738D9"/>
    <w:rsid w:val="002824FA"/>
    <w:rsid w:val="002A3A71"/>
    <w:rsid w:val="002A668F"/>
    <w:rsid w:val="002B1671"/>
    <w:rsid w:val="002B31C0"/>
    <w:rsid w:val="002D15BF"/>
    <w:rsid w:val="002D297B"/>
    <w:rsid w:val="002E57F0"/>
    <w:rsid w:val="002E5A53"/>
    <w:rsid w:val="002F298D"/>
    <w:rsid w:val="00300D53"/>
    <w:rsid w:val="00304372"/>
    <w:rsid w:val="00307192"/>
    <w:rsid w:val="00312672"/>
    <w:rsid w:val="003308F1"/>
    <w:rsid w:val="0035581B"/>
    <w:rsid w:val="003730CB"/>
    <w:rsid w:val="00387C5A"/>
    <w:rsid w:val="00390384"/>
    <w:rsid w:val="003B0D1D"/>
    <w:rsid w:val="003B19F4"/>
    <w:rsid w:val="003D2547"/>
    <w:rsid w:val="003E2F24"/>
    <w:rsid w:val="003F4A97"/>
    <w:rsid w:val="00400AD1"/>
    <w:rsid w:val="00411774"/>
    <w:rsid w:val="00420C64"/>
    <w:rsid w:val="00423C16"/>
    <w:rsid w:val="00433C25"/>
    <w:rsid w:val="004433B5"/>
    <w:rsid w:val="00450007"/>
    <w:rsid w:val="00450585"/>
    <w:rsid w:val="00456333"/>
    <w:rsid w:val="004563E2"/>
    <w:rsid w:val="00467BAB"/>
    <w:rsid w:val="004704A5"/>
    <w:rsid w:val="00473322"/>
    <w:rsid w:val="00476292"/>
    <w:rsid w:val="004933F2"/>
    <w:rsid w:val="004A164F"/>
    <w:rsid w:val="004B0986"/>
    <w:rsid w:val="004B71FF"/>
    <w:rsid w:val="004C0633"/>
    <w:rsid w:val="004E299E"/>
    <w:rsid w:val="004E2EC2"/>
    <w:rsid w:val="004F1129"/>
    <w:rsid w:val="00506130"/>
    <w:rsid w:val="00512FFC"/>
    <w:rsid w:val="005140DD"/>
    <w:rsid w:val="00515E47"/>
    <w:rsid w:val="005306EF"/>
    <w:rsid w:val="00535334"/>
    <w:rsid w:val="00536539"/>
    <w:rsid w:val="0054490D"/>
    <w:rsid w:val="005505C0"/>
    <w:rsid w:val="005514DC"/>
    <w:rsid w:val="00571D52"/>
    <w:rsid w:val="00573AA1"/>
    <w:rsid w:val="00594D72"/>
    <w:rsid w:val="005A5191"/>
    <w:rsid w:val="005B226F"/>
    <w:rsid w:val="005B327A"/>
    <w:rsid w:val="005E2FBB"/>
    <w:rsid w:val="005F70DF"/>
    <w:rsid w:val="005F7518"/>
    <w:rsid w:val="006105A0"/>
    <w:rsid w:val="006135FE"/>
    <w:rsid w:val="00613EE6"/>
    <w:rsid w:val="00622F56"/>
    <w:rsid w:val="006242DB"/>
    <w:rsid w:val="00626DF4"/>
    <w:rsid w:val="00640702"/>
    <w:rsid w:val="00663269"/>
    <w:rsid w:val="006878C1"/>
    <w:rsid w:val="00690424"/>
    <w:rsid w:val="006923CF"/>
    <w:rsid w:val="006935A6"/>
    <w:rsid w:val="006A4050"/>
    <w:rsid w:val="006B56A9"/>
    <w:rsid w:val="006B56F5"/>
    <w:rsid w:val="006C30DC"/>
    <w:rsid w:val="006C6775"/>
    <w:rsid w:val="006C6CBA"/>
    <w:rsid w:val="006D0EA2"/>
    <w:rsid w:val="006D128E"/>
    <w:rsid w:val="006D50E6"/>
    <w:rsid w:val="006D63D1"/>
    <w:rsid w:val="006E5032"/>
    <w:rsid w:val="006E62B3"/>
    <w:rsid w:val="007247BD"/>
    <w:rsid w:val="007247F4"/>
    <w:rsid w:val="0073247E"/>
    <w:rsid w:val="007325CF"/>
    <w:rsid w:val="00744E48"/>
    <w:rsid w:val="00746C54"/>
    <w:rsid w:val="007505BF"/>
    <w:rsid w:val="00754F4F"/>
    <w:rsid w:val="00761AD7"/>
    <w:rsid w:val="00763EFB"/>
    <w:rsid w:val="00765494"/>
    <w:rsid w:val="00766335"/>
    <w:rsid w:val="00766F84"/>
    <w:rsid w:val="007675A8"/>
    <w:rsid w:val="00773B05"/>
    <w:rsid w:val="007807F1"/>
    <w:rsid w:val="00786726"/>
    <w:rsid w:val="007A0993"/>
    <w:rsid w:val="007A136C"/>
    <w:rsid w:val="007E429C"/>
    <w:rsid w:val="007F455F"/>
    <w:rsid w:val="007F4B53"/>
    <w:rsid w:val="008005A1"/>
    <w:rsid w:val="008062A1"/>
    <w:rsid w:val="00814FA3"/>
    <w:rsid w:val="00815566"/>
    <w:rsid w:val="00817AEF"/>
    <w:rsid w:val="0082609E"/>
    <w:rsid w:val="008379D9"/>
    <w:rsid w:val="00853F9E"/>
    <w:rsid w:val="00856F43"/>
    <w:rsid w:val="00874ED7"/>
    <w:rsid w:val="008C0D26"/>
    <w:rsid w:val="008C4907"/>
    <w:rsid w:val="008C6FF3"/>
    <w:rsid w:val="008D414D"/>
    <w:rsid w:val="008D466E"/>
    <w:rsid w:val="008D5AD7"/>
    <w:rsid w:val="008D5E35"/>
    <w:rsid w:val="008E254E"/>
    <w:rsid w:val="008E5A2F"/>
    <w:rsid w:val="008E6E99"/>
    <w:rsid w:val="00903EA5"/>
    <w:rsid w:val="00907A19"/>
    <w:rsid w:val="00907E25"/>
    <w:rsid w:val="009224AE"/>
    <w:rsid w:val="009300F3"/>
    <w:rsid w:val="0093089C"/>
    <w:rsid w:val="00941931"/>
    <w:rsid w:val="009425D6"/>
    <w:rsid w:val="00956120"/>
    <w:rsid w:val="0096114A"/>
    <w:rsid w:val="0096432D"/>
    <w:rsid w:val="00965704"/>
    <w:rsid w:val="00966524"/>
    <w:rsid w:val="0097563B"/>
    <w:rsid w:val="0099466C"/>
    <w:rsid w:val="009B4E33"/>
    <w:rsid w:val="009C31B9"/>
    <w:rsid w:val="009C3E75"/>
    <w:rsid w:val="009E1334"/>
    <w:rsid w:val="009E1962"/>
    <w:rsid w:val="009E67D8"/>
    <w:rsid w:val="00A002C8"/>
    <w:rsid w:val="00A02BA0"/>
    <w:rsid w:val="00A231AF"/>
    <w:rsid w:val="00A530EF"/>
    <w:rsid w:val="00A71444"/>
    <w:rsid w:val="00A82941"/>
    <w:rsid w:val="00A86E85"/>
    <w:rsid w:val="00A95DE4"/>
    <w:rsid w:val="00AA1482"/>
    <w:rsid w:val="00AA1E37"/>
    <w:rsid w:val="00AB2ED2"/>
    <w:rsid w:val="00AB624E"/>
    <w:rsid w:val="00AC2B24"/>
    <w:rsid w:val="00AD1CA4"/>
    <w:rsid w:val="00AD46DD"/>
    <w:rsid w:val="00AD6113"/>
    <w:rsid w:val="00AD7C35"/>
    <w:rsid w:val="00AE0C7F"/>
    <w:rsid w:val="00AE7778"/>
    <w:rsid w:val="00B01D53"/>
    <w:rsid w:val="00B13517"/>
    <w:rsid w:val="00B13B57"/>
    <w:rsid w:val="00B201C6"/>
    <w:rsid w:val="00B3782F"/>
    <w:rsid w:val="00B42F60"/>
    <w:rsid w:val="00B856AC"/>
    <w:rsid w:val="00B870F8"/>
    <w:rsid w:val="00B90FD0"/>
    <w:rsid w:val="00B92588"/>
    <w:rsid w:val="00B9265A"/>
    <w:rsid w:val="00B92B08"/>
    <w:rsid w:val="00BC4320"/>
    <w:rsid w:val="00BE70E1"/>
    <w:rsid w:val="00BF2AD7"/>
    <w:rsid w:val="00BF3AC8"/>
    <w:rsid w:val="00C20BB4"/>
    <w:rsid w:val="00C2288F"/>
    <w:rsid w:val="00C272B7"/>
    <w:rsid w:val="00C35EA3"/>
    <w:rsid w:val="00C371AE"/>
    <w:rsid w:val="00C4375C"/>
    <w:rsid w:val="00C4762D"/>
    <w:rsid w:val="00C50136"/>
    <w:rsid w:val="00C6151D"/>
    <w:rsid w:val="00C742DB"/>
    <w:rsid w:val="00C7584A"/>
    <w:rsid w:val="00C811AC"/>
    <w:rsid w:val="00C84B2C"/>
    <w:rsid w:val="00C90FA1"/>
    <w:rsid w:val="00C92B71"/>
    <w:rsid w:val="00CB2CCF"/>
    <w:rsid w:val="00CB376E"/>
    <w:rsid w:val="00CB6C95"/>
    <w:rsid w:val="00CC0E23"/>
    <w:rsid w:val="00CC29D8"/>
    <w:rsid w:val="00CC5754"/>
    <w:rsid w:val="00CC69D0"/>
    <w:rsid w:val="00CD01E5"/>
    <w:rsid w:val="00CD2A4C"/>
    <w:rsid w:val="00CE27D0"/>
    <w:rsid w:val="00CE6EDD"/>
    <w:rsid w:val="00CF6B80"/>
    <w:rsid w:val="00D030BC"/>
    <w:rsid w:val="00D03749"/>
    <w:rsid w:val="00D45491"/>
    <w:rsid w:val="00D46428"/>
    <w:rsid w:val="00D50770"/>
    <w:rsid w:val="00D53641"/>
    <w:rsid w:val="00D549A3"/>
    <w:rsid w:val="00D84D92"/>
    <w:rsid w:val="00D864F1"/>
    <w:rsid w:val="00D96E17"/>
    <w:rsid w:val="00DA0D7F"/>
    <w:rsid w:val="00DA2D5A"/>
    <w:rsid w:val="00DA2F4A"/>
    <w:rsid w:val="00DC01B7"/>
    <w:rsid w:val="00DD4DCC"/>
    <w:rsid w:val="00DE3C06"/>
    <w:rsid w:val="00DF40CE"/>
    <w:rsid w:val="00DF61AF"/>
    <w:rsid w:val="00DF634E"/>
    <w:rsid w:val="00E00100"/>
    <w:rsid w:val="00E0639C"/>
    <w:rsid w:val="00E10AE9"/>
    <w:rsid w:val="00E16DA5"/>
    <w:rsid w:val="00E16E57"/>
    <w:rsid w:val="00E367BC"/>
    <w:rsid w:val="00E41AB7"/>
    <w:rsid w:val="00E45D6B"/>
    <w:rsid w:val="00E82A81"/>
    <w:rsid w:val="00E904D1"/>
    <w:rsid w:val="00EA2CC0"/>
    <w:rsid w:val="00EA37B7"/>
    <w:rsid w:val="00EA4631"/>
    <w:rsid w:val="00EA5B1C"/>
    <w:rsid w:val="00EC46D7"/>
    <w:rsid w:val="00EC4A65"/>
    <w:rsid w:val="00EF19D1"/>
    <w:rsid w:val="00EF1EE7"/>
    <w:rsid w:val="00EF4B6A"/>
    <w:rsid w:val="00F14EA1"/>
    <w:rsid w:val="00F24FF4"/>
    <w:rsid w:val="00F26F5C"/>
    <w:rsid w:val="00F32DEE"/>
    <w:rsid w:val="00F40630"/>
    <w:rsid w:val="00F45365"/>
    <w:rsid w:val="00F46023"/>
    <w:rsid w:val="00F57956"/>
    <w:rsid w:val="00F72103"/>
    <w:rsid w:val="00F74EB2"/>
    <w:rsid w:val="00F8060C"/>
    <w:rsid w:val="00F854AC"/>
    <w:rsid w:val="00F946B1"/>
    <w:rsid w:val="00FA07CC"/>
    <w:rsid w:val="00FA2663"/>
    <w:rsid w:val="00FA59F6"/>
    <w:rsid w:val="00FA5D23"/>
    <w:rsid w:val="00FA7482"/>
    <w:rsid w:val="00FB4133"/>
    <w:rsid w:val="00FB519E"/>
    <w:rsid w:val="00FB5B05"/>
    <w:rsid w:val="00FC329F"/>
    <w:rsid w:val="00FC728E"/>
    <w:rsid w:val="00FD0078"/>
    <w:rsid w:val="00FD020A"/>
    <w:rsid w:val="00FD26D3"/>
    <w:rsid w:val="00FE57B3"/>
    <w:rsid w:val="00FE6DE7"/>
    <w:rsid w:val="00FF5790"/>
    <w:rsid w:val="046339DA"/>
    <w:rsid w:val="05E4C47F"/>
    <w:rsid w:val="068EEDEF"/>
    <w:rsid w:val="110C7331"/>
    <w:rsid w:val="1C7050D7"/>
    <w:rsid w:val="27115334"/>
    <w:rsid w:val="3453B2D4"/>
    <w:rsid w:val="3D1B060D"/>
    <w:rsid w:val="4780F9F0"/>
    <w:rsid w:val="4A9881E9"/>
    <w:rsid w:val="4F600A86"/>
    <w:rsid w:val="4FD24691"/>
    <w:rsid w:val="60464BAA"/>
    <w:rsid w:val="7661A9F9"/>
    <w:rsid w:val="7AC8B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355A6"/>
  <w15:chartTrackingRefBased/>
  <w15:docId w15:val="{FC0F5679-AEEA-4584-99CA-D3CCDBC1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A6"/>
    <w:pPr>
      <w:spacing w:before="120" w:after="280"/>
    </w:pPr>
    <w:rPr>
      <w:rFonts w:ascii="Poppins" w:hAnsi="Poppins"/>
    </w:rPr>
  </w:style>
  <w:style w:type="paragraph" w:styleId="Heading1">
    <w:name w:val="heading 1"/>
    <w:basedOn w:val="Normal"/>
    <w:next w:val="Normal"/>
    <w:link w:val="Heading1Char"/>
    <w:uiPriority w:val="9"/>
    <w:qFormat/>
    <w:rsid w:val="00F579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57956"/>
    <w:pPr>
      <w:spacing w:before="100" w:beforeAutospacing="1" w:after="100" w:afterAutospacing="1" w:line="240" w:lineRule="auto"/>
      <w:outlineLvl w:val="1"/>
    </w:pPr>
    <w:rPr>
      <w:rFonts w:eastAsia="Times New Roman" w:cs="Times New Roman"/>
      <w:b/>
      <w:bCs/>
      <w:sz w:val="32"/>
      <w:szCs w:val="36"/>
      <w:lang w:eastAsia="en-AU"/>
    </w:rPr>
  </w:style>
  <w:style w:type="paragraph" w:styleId="Heading3">
    <w:name w:val="heading 3"/>
    <w:basedOn w:val="Normal"/>
    <w:next w:val="Normal"/>
    <w:link w:val="Heading3Char"/>
    <w:uiPriority w:val="9"/>
    <w:unhideWhenUsed/>
    <w:qFormat/>
    <w:rsid w:val="008E254E"/>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0D"/>
    <w:pPr>
      <w:ind w:left="720"/>
      <w:contextualSpacing/>
    </w:pPr>
  </w:style>
  <w:style w:type="paragraph" w:styleId="NoSpacing">
    <w:name w:val="No Spacing"/>
    <w:basedOn w:val="Normal"/>
    <w:next w:val="Normal"/>
    <w:uiPriority w:val="1"/>
    <w:qFormat/>
    <w:rsid w:val="00026FA6"/>
    <w:pPr>
      <w:spacing w:before="240" w:after="120" w:line="240" w:lineRule="auto"/>
    </w:pPr>
  </w:style>
  <w:style w:type="paragraph" w:customStyle="1" w:styleId="xmsonormal">
    <w:name w:val="x_msonormal"/>
    <w:basedOn w:val="Normal"/>
    <w:rsid w:val="006B56A9"/>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761AD7"/>
    <w:rPr>
      <w:color w:val="0563C1"/>
      <w:u w:val="single"/>
    </w:rPr>
  </w:style>
  <w:style w:type="character" w:styleId="FollowedHyperlink">
    <w:name w:val="FollowedHyperlink"/>
    <w:basedOn w:val="DefaultParagraphFont"/>
    <w:uiPriority w:val="99"/>
    <w:semiHidden/>
    <w:unhideWhenUsed/>
    <w:rsid w:val="001B6160"/>
    <w:rPr>
      <w:color w:val="954F72" w:themeColor="followedHyperlink"/>
      <w:u w:val="single"/>
    </w:rPr>
  </w:style>
  <w:style w:type="character" w:styleId="CommentReference">
    <w:name w:val="annotation reference"/>
    <w:basedOn w:val="DefaultParagraphFont"/>
    <w:uiPriority w:val="99"/>
    <w:semiHidden/>
    <w:unhideWhenUsed/>
    <w:rsid w:val="002D297B"/>
    <w:rPr>
      <w:sz w:val="16"/>
      <w:szCs w:val="16"/>
    </w:rPr>
  </w:style>
  <w:style w:type="paragraph" w:styleId="CommentText">
    <w:name w:val="annotation text"/>
    <w:basedOn w:val="Normal"/>
    <w:link w:val="CommentTextChar"/>
    <w:uiPriority w:val="99"/>
    <w:semiHidden/>
    <w:unhideWhenUsed/>
    <w:rsid w:val="002D297B"/>
    <w:pPr>
      <w:spacing w:line="240" w:lineRule="auto"/>
    </w:pPr>
    <w:rPr>
      <w:sz w:val="20"/>
      <w:szCs w:val="20"/>
    </w:rPr>
  </w:style>
  <w:style w:type="character" w:customStyle="1" w:styleId="CommentTextChar">
    <w:name w:val="Comment Text Char"/>
    <w:basedOn w:val="DefaultParagraphFont"/>
    <w:link w:val="CommentText"/>
    <w:uiPriority w:val="99"/>
    <w:semiHidden/>
    <w:rsid w:val="002D297B"/>
    <w:rPr>
      <w:sz w:val="20"/>
      <w:szCs w:val="20"/>
    </w:rPr>
  </w:style>
  <w:style w:type="paragraph" w:styleId="CommentSubject">
    <w:name w:val="annotation subject"/>
    <w:basedOn w:val="CommentText"/>
    <w:next w:val="CommentText"/>
    <w:link w:val="CommentSubjectChar"/>
    <w:uiPriority w:val="99"/>
    <w:semiHidden/>
    <w:unhideWhenUsed/>
    <w:rsid w:val="002D297B"/>
    <w:rPr>
      <w:b/>
      <w:bCs/>
    </w:rPr>
  </w:style>
  <w:style w:type="character" w:customStyle="1" w:styleId="CommentSubjectChar">
    <w:name w:val="Comment Subject Char"/>
    <w:basedOn w:val="CommentTextChar"/>
    <w:link w:val="CommentSubject"/>
    <w:uiPriority w:val="99"/>
    <w:semiHidden/>
    <w:rsid w:val="002D297B"/>
    <w:rPr>
      <w:b/>
      <w:bCs/>
      <w:sz w:val="20"/>
      <w:szCs w:val="20"/>
    </w:rPr>
  </w:style>
  <w:style w:type="paragraph" w:styleId="BalloonText">
    <w:name w:val="Balloon Text"/>
    <w:basedOn w:val="Normal"/>
    <w:link w:val="BalloonTextChar"/>
    <w:uiPriority w:val="99"/>
    <w:semiHidden/>
    <w:unhideWhenUsed/>
    <w:rsid w:val="002D2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7B"/>
    <w:rPr>
      <w:rFonts w:ascii="Segoe UI" w:hAnsi="Segoe UI" w:cs="Segoe UI"/>
      <w:sz w:val="18"/>
      <w:szCs w:val="18"/>
    </w:rPr>
  </w:style>
  <w:style w:type="table" w:styleId="TableGrid">
    <w:name w:val="Table Grid"/>
    <w:basedOn w:val="TableNormal"/>
    <w:uiPriority w:val="39"/>
    <w:rsid w:val="005A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763EFB"/>
  </w:style>
  <w:style w:type="character" w:customStyle="1" w:styleId="Heading2Char">
    <w:name w:val="Heading 2 Char"/>
    <w:basedOn w:val="DefaultParagraphFont"/>
    <w:link w:val="Heading2"/>
    <w:uiPriority w:val="9"/>
    <w:rsid w:val="00F57956"/>
    <w:rPr>
      <w:rFonts w:ascii="Poppins" w:eastAsia="Times New Roman" w:hAnsi="Poppins" w:cs="Times New Roman"/>
      <w:b/>
      <w:bCs/>
      <w:sz w:val="32"/>
      <w:szCs w:val="36"/>
      <w:lang w:eastAsia="en-AU"/>
    </w:rPr>
  </w:style>
  <w:style w:type="paragraph" w:styleId="NormalWeb">
    <w:name w:val="Normal (Web)"/>
    <w:basedOn w:val="Normal"/>
    <w:uiPriority w:val="99"/>
    <w:semiHidden/>
    <w:unhideWhenUsed/>
    <w:rsid w:val="007807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07F1"/>
    <w:rPr>
      <w:b/>
      <w:bCs/>
    </w:rPr>
  </w:style>
  <w:style w:type="character" w:styleId="UnresolvedMention">
    <w:name w:val="Unresolved Mention"/>
    <w:basedOn w:val="DefaultParagraphFont"/>
    <w:uiPriority w:val="99"/>
    <w:semiHidden/>
    <w:unhideWhenUsed/>
    <w:rsid w:val="00F8060C"/>
    <w:rPr>
      <w:color w:val="605E5C"/>
      <w:shd w:val="clear" w:color="auto" w:fill="E1DFDD"/>
    </w:rPr>
  </w:style>
  <w:style w:type="paragraph" w:styleId="Header">
    <w:name w:val="header"/>
    <w:basedOn w:val="Normal"/>
    <w:link w:val="HeaderChar"/>
    <w:uiPriority w:val="99"/>
    <w:unhideWhenUsed/>
    <w:rsid w:val="00282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4FA"/>
  </w:style>
  <w:style w:type="paragraph" w:styleId="Footer">
    <w:name w:val="footer"/>
    <w:basedOn w:val="Normal"/>
    <w:link w:val="FooterChar"/>
    <w:uiPriority w:val="99"/>
    <w:unhideWhenUsed/>
    <w:rsid w:val="00282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4FA"/>
  </w:style>
  <w:style w:type="character" w:customStyle="1" w:styleId="Heading1Char">
    <w:name w:val="Heading 1 Char"/>
    <w:basedOn w:val="DefaultParagraphFont"/>
    <w:link w:val="Heading1"/>
    <w:uiPriority w:val="9"/>
    <w:rsid w:val="00F579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E254E"/>
    <w:rPr>
      <w:rFonts w:ascii="Poppins" w:eastAsiaTheme="majorEastAsia" w:hAnsi="Poppins"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2252">
      <w:bodyDiv w:val="1"/>
      <w:marLeft w:val="0"/>
      <w:marRight w:val="0"/>
      <w:marTop w:val="0"/>
      <w:marBottom w:val="0"/>
      <w:divBdr>
        <w:top w:val="none" w:sz="0" w:space="0" w:color="auto"/>
        <w:left w:val="none" w:sz="0" w:space="0" w:color="auto"/>
        <w:bottom w:val="none" w:sz="0" w:space="0" w:color="auto"/>
        <w:right w:val="none" w:sz="0" w:space="0" w:color="auto"/>
      </w:divBdr>
    </w:div>
    <w:div w:id="355812375">
      <w:bodyDiv w:val="1"/>
      <w:marLeft w:val="0"/>
      <w:marRight w:val="0"/>
      <w:marTop w:val="0"/>
      <w:marBottom w:val="0"/>
      <w:divBdr>
        <w:top w:val="none" w:sz="0" w:space="0" w:color="auto"/>
        <w:left w:val="none" w:sz="0" w:space="0" w:color="auto"/>
        <w:bottom w:val="none" w:sz="0" w:space="0" w:color="auto"/>
        <w:right w:val="none" w:sz="0" w:space="0" w:color="auto"/>
      </w:divBdr>
    </w:div>
    <w:div w:id="451675320">
      <w:bodyDiv w:val="1"/>
      <w:marLeft w:val="0"/>
      <w:marRight w:val="0"/>
      <w:marTop w:val="0"/>
      <w:marBottom w:val="0"/>
      <w:divBdr>
        <w:top w:val="none" w:sz="0" w:space="0" w:color="auto"/>
        <w:left w:val="none" w:sz="0" w:space="0" w:color="auto"/>
        <w:bottom w:val="none" w:sz="0" w:space="0" w:color="auto"/>
        <w:right w:val="none" w:sz="0" w:space="0" w:color="auto"/>
      </w:divBdr>
    </w:div>
    <w:div w:id="475341850">
      <w:bodyDiv w:val="1"/>
      <w:marLeft w:val="0"/>
      <w:marRight w:val="0"/>
      <w:marTop w:val="0"/>
      <w:marBottom w:val="0"/>
      <w:divBdr>
        <w:top w:val="none" w:sz="0" w:space="0" w:color="auto"/>
        <w:left w:val="none" w:sz="0" w:space="0" w:color="auto"/>
        <w:bottom w:val="none" w:sz="0" w:space="0" w:color="auto"/>
        <w:right w:val="none" w:sz="0" w:space="0" w:color="auto"/>
      </w:divBdr>
    </w:div>
    <w:div w:id="543560158">
      <w:bodyDiv w:val="1"/>
      <w:marLeft w:val="0"/>
      <w:marRight w:val="0"/>
      <w:marTop w:val="0"/>
      <w:marBottom w:val="0"/>
      <w:divBdr>
        <w:top w:val="none" w:sz="0" w:space="0" w:color="auto"/>
        <w:left w:val="none" w:sz="0" w:space="0" w:color="auto"/>
        <w:bottom w:val="none" w:sz="0" w:space="0" w:color="auto"/>
        <w:right w:val="none" w:sz="0" w:space="0" w:color="auto"/>
      </w:divBdr>
    </w:div>
    <w:div w:id="662928739">
      <w:bodyDiv w:val="1"/>
      <w:marLeft w:val="0"/>
      <w:marRight w:val="0"/>
      <w:marTop w:val="0"/>
      <w:marBottom w:val="0"/>
      <w:divBdr>
        <w:top w:val="none" w:sz="0" w:space="0" w:color="auto"/>
        <w:left w:val="none" w:sz="0" w:space="0" w:color="auto"/>
        <w:bottom w:val="none" w:sz="0" w:space="0" w:color="auto"/>
        <w:right w:val="none" w:sz="0" w:space="0" w:color="auto"/>
      </w:divBdr>
    </w:div>
    <w:div w:id="709459662">
      <w:bodyDiv w:val="1"/>
      <w:marLeft w:val="0"/>
      <w:marRight w:val="0"/>
      <w:marTop w:val="0"/>
      <w:marBottom w:val="0"/>
      <w:divBdr>
        <w:top w:val="none" w:sz="0" w:space="0" w:color="auto"/>
        <w:left w:val="none" w:sz="0" w:space="0" w:color="auto"/>
        <w:bottom w:val="none" w:sz="0" w:space="0" w:color="auto"/>
        <w:right w:val="none" w:sz="0" w:space="0" w:color="auto"/>
      </w:divBdr>
    </w:div>
    <w:div w:id="815802372">
      <w:bodyDiv w:val="1"/>
      <w:marLeft w:val="0"/>
      <w:marRight w:val="0"/>
      <w:marTop w:val="0"/>
      <w:marBottom w:val="0"/>
      <w:divBdr>
        <w:top w:val="none" w:sz="0" w:space="0" w:color="auto"/>
        <w:left w:val="none" w:sz="0" w:space="0" w:color="auto"/>
        <w:bottom w:val="none" w:sz="0" w:space="0" w:color="auto"/>
        <w:right w:val="none" w:sz="0" w:space="0" w:color="auto"/>
      </w:divBdr>
    </w:div>
    <w:div w:id="916982961">
      <w:bodyDiv w:val="1"/>
      <w:marLeft w:val="0"/>
      <w:marRight w:val="0"/>
      <w:marTop w:val="0"/>
      <w:marBottom w:val="0"/>
      <w:divBdr>
        <w:top w:val="none" w:sz="0" w:space="0" w:color="auto"/>
        <w:left w:val="none" w:sz="0" w:space="0" w:color="auto"/>
        <w:bottom w:val="none" w:sz="0" w:space="0" w:color="auto"/>
        <w:right w:val="none" w:sz="0" w:space="0" w:color="auto"/>
      </w:divBdr>
    </w:div>
    <w:div w:id="9268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erwest.nsw.gov.au/live/information-for-residents/rates/rates-rebates-for-pensioners"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yrates@innerwest.nsw.gov.au" TargetMode="External"/><Relationship Id="rId7" Type="http://schemas.openxmlformats.org/officeDocument/2006/relationships/settings" Target="settings.xml"/><Relationship Id="rId12" Type="http://schemas.openxmlformats.org/officeDocument/2006/relationships/hyperlink" Target="https://www.innerwest.nsw.gov.au/live/information-for-residents/rates/rates-calculator/rates-calculator"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nerwest.nsw.gov.au/live/information-for-residents/rates/rates-calculator/rates-calculator" TargetMode="External"/><Relationship Id="rId20" Type="http://schemas.openxmlformats.org/officeDocument/2006/relationships/hyperlink" Target="https://www.ipart.nsw.gov.au/Home/Industries/Local-Government/For-Ratepa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uergeneral.nsw.gov.au/land_values/where_can_you_learn_more_about_your_land_value/land_values_onlin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part.nsw.gov.au/Home/Industries/Local-Government/For-Ratepayer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comengage2\AppData\Local\Microsoft\Windows\INetCache\Content.Outlook\Q6N434OG\yoursay.innerwest.nsw.gov.au\my-r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uergeneral.nsw.gov.au/land_values/where_can_you_learn_more_about_your_land_value/land_values_online" TargetMode="External"/><Relationship Id="rId22" Type="http://schemas.openxmlformats.org/officeDocument/2006/relationships/hyperlink" Target="http://www.dss.gov.au/contact/national-relay-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Land value to rates comparison </a:t>
            </a:r>
          </a:p>
          <a:p>
            <a:pPr>
              <a:defRPr/>
            </a:pPr>
            <a:r>
              <a:rPr lang="en-AU"/>
              <a:t>Residential ratepayers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c:f>
              <c:strCache>
                <c:ptCount val="1"/>
                <c:pt idx="0">
                  <c:v>% total land value</c:v>
                </c:pt>
              </c:strCache>
            </c:strRef>
          </c:tx>
          <c:spPr>
            <a:solidFill>
              <a:srgbClr val="1156F6"/>
            </a:solidFill>
            <a:ln>
              <a:noFill/>
            </a:ln>
            <a:effectLst/>
          </c:spPr>
          <c:invertIfNegative val="0"/>
          <c:cat>
            <c:strRef>
              <c:f>Sheet1!$B$3:$D$3</c:f>
              <c:strCache>
                <c:ptCount val="3"/>
                <c:pt idx="0">
                  <c:v>Former Ashfield Council area ratepayers</c:v>
                </c:pt>
                <c:pt idx="1">
                  <c:v>Former Leichhardt Council area ratepayers</c:v>
                </c:pt>
                <c:pt idx="2">
                  <c:v>Former Marrickville Council area ratepayers</c:v>
                </c:pt>
              </c:strCache>
            </c:strRef>
          </c:cat>
          <c:val>
            <c:numRef>
              <c:f>Sheet1!$B$4:$D$4</c:f>
              <c:numCache>
                <c:formatCode>0%</c:formatCode>
                <c:ptCount val="3"/>
                <c:pt idx="0">
                  <c:v>0.21</c:v>
                </c:pt>
                <c:pt idx="1">
                  <c:v>0.39</c:v>
                </c:pt>
                <c:pt idx="2">
                  <c:v>0.4</c:v>
                </c:pt>
              </c:numCache>
            </c:numRef>
          </c:val>
          <c:extLst>
            <c:ext xmlns:c16="http://schemas.microsoft.com/office/drawing/2014/chart" uri="{C3380CC4-5D6E-409C-BE32-E72D297353CC}">
              <c16:uniqueId val="{00000000-EF21-44C1-B0D4-30B68CF8FBE4}"/>
            </c:ext>
          </c:extLst>
        </c:ser>
        <c:ser>
          <c:idx val="1"/>
          <c:order val="1"/>
          <c:tx>
            <c:strRef>
              <c:f>Sheet1!$A$5</c:f>
              <c:strCache>
                <c:ptCount val="1"/>
                <c:pt idx="0">
                  <c:v>% rates paid</c:v>
                </c:pt>
              </c:strCache>
            </c:strRef>
          </c:tx>
          <c:spPr>
            <a:solidFill>
              <a:srgbClr val="FF613D"/>
            </a:solidFill>
            <a:ln>
              <a:noFill/>
            </a:ln>
            <a:effectLst/>
          </c:spPr>
          <c:invertIfNegative val="0"/>
          <c:cat>
            <c:strRef>
              <c:f>Sheet1!$B$3:$D$3</c:f>
              <c:strCache>
                <c:ptCount val="3"/>
                <c:pt idx="0">
                  <c:v>Former Ashfield Council area ratepayers</c:v>
                </c:pt>
                <c:pt idx="1">
                  <c:v>Former Leichhardt Council area ratepayers</c:v>
                </c:pt>
                <c:pt idx="2">
                  <c:v>Former Marrickville Council area ratepayers</c:v>
                </c:pt>
              </c:strCache>
            </c:strRef>
          </c:cat>
          <c:val>
            <c:numRef>
              <c:f>Sheet1!$B$5:$D$5</c:f>
              <c:numCache>
                <c:formatCode>0%</c:formatCode>
                <c:ptCount val="3"/>
                <c:pt idx="0">
                  <c:v>0.27</c:v>
                </c:pt>
                <c:pt idx="1">
                  <c:v>0.37</c:v>
                </c:pt>
                <c:pt idx="2">
                  <c:v>0.35</c:v>
                </c:pt>
              </c:numCache>
            </c:numRef>
          </c:val>
          <c:extLst>
            <c:ext xmlns:c16="http://schemas.microsoft.com/office/drawing/2014/chart" uri="{C3380CC4-5D6E-409C-BE32-E72D297353CC}">
              <c16:uniqueId val="{00000001-EF21-44C1-B0D4-30B68CF8FBE4}"/>
            </c:ext>
          </c:extLst>
        </c:ser>
        <c:dLbls>
          <c:showLegendKey val="0"/>
          <c:showVal val="0"/>
          <c:showCatName val="0"/>
          <c:showSerName val="0"/>
          <c:showPercent val="0"/>
          <c:showBubbleSize val="0"/>
        </c:dLbls>
        <c:gapWidth val="219"/>
        <c:overlap val="-27"/>
        <c:axId val="1220044239"/>
        <c:axId val="1217292207"/>
      </c:barChart>
      <c:catAx>
        <c:axId val="1220044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7292207"/>
        <c:crosses val="autoZero"/>
        <c:auto val="1"/>
        <c:lblAlgn val="ctr"/>
        <c:lblOffset val="100"/>
        <c:noMultiLvlLbl val="0"/>
      </c:catAx>
      <c:valAx>
        <c:axId val="12172922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044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Land value to rates comparison </a:t>
            </a:r>
            <a:endParaRPr lang="en-AU" sz="1400">
              <a:effectLst/>
            </a:endParaRPr>
          </a:p>
          <a:p>
            <a:pPr>
              <a:defRPr/>
            </a:pPr>
            <a:r>
              <a:rPr lang="en-AU" sz="1400" b="0" i="0" baseline="0">
                <a:effectLst/>
              </a:rPr>
              <a:t>Business ratepayers</a:t>
            </a:r>
            <a:endParaRPr lang="en-AU"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Sheet1!$A$26</c:f>
              <c:strCache>
                <c:ptCount val="1"/>
                <c:pt idx="0">
                  <c:v>% total land value</c:v>
                </c:pt>
              </c:strCache>
            </c:strRef>
          </c:tx>
          <c:spPr>
            <a:solidFill>
              <a:srgbClr val="1156F6"/>
            </a:solidFill>
            <a:ln>
              <a:noFill/>
            </a:ln>
            <a:effectLst/>
          </c:spPr>
          <c:invertIfNegative val="0"/>
          <c:cat>
            <c:strRef>
              <c:f>Sheet1!$B$25:$D$25</c:f>
              <c:strCache>
                <c:ptCount val="3"/>
                <c:pt idx="0">
                  <c:v>Former Ashfield Council area ratepayers</c:v>
                </c:pt>
                <c:pt idx="1">
                  <c:v>Former Leichhardt Council area ratepayers</c:v>
                </c:pt>
                <c:pt idx="2">
                  <c:v>Former Marrickville Council area ratepayers</c:v>
                </c:pt>
              </c:strCache>
            </c:strRef>
          </c:cat>
          <c:val>
            <c:numRef>
              <c:f>Sheet1!$B$26:$D$26</c:f>
              <c:numCache>
                <c:formatCode>0%</c:formatCode>
                <c:ptCount val="3"/>
                <c:pt idx="0">
                  <c:v>0.22</c:v>
                </c:pt>
                <c:pt idx="1">
                  <c:v>0.4</c:v>
                </c:pt>
                <c:pt idx="2">
                  <c:v>0.38</c:v>
                </c:pt>
              </c:numCache>
            </c:numRef>
          </c:val>
          <c:extLst>
            <c:ext xmlns:c16="http://schemas.microsoft.com/office/drawing/2014/chart" uri="{C3380CC4-5D6E-409C-BE32-E72D297353CC}">
              <c16:uniqueId val="{00000000-B324-46F2-AED2-14A985E5AB3D}"/>
            </c:ext>
          </c:extLst>
        </c:ser>
        <c:ser>
          <c:idx val="1"/>
          <c:order val="1"/>
          <c:tx>
            <c:strRef>
              <c:f>Sheet1!$A$27</c:f>
              <c:strCache>
                <c:ptCount val="1"/>
                <c:pt idx="0">
                  <c:v>% rates paid</c:v>
                </c:pt>
              </c:strCache>
            </c:strRef>
          </c:tx>
          <c:spPr>
            <a:solidFill>
              <a:srgbClr val="FF613D"/>
            </a:solidFill>
            <a:ln>
              <a:noFill/>
            </a:ln>
            <a:effectLst/>
          </c:spPr>
          <c:invertIfNegative val="0"/>
          <c:cat>
            <c:strRef>
              <c:f>Sheet1!$B$25:$D$25</c:f>
              <c:strCache>
                <c:ptCount val="3"/>
                <c:pt idx="0">
                  <c:v>Former Ashfield Council area ratepayers</c:v>
                </c:pt>
                <c:pt idx="1">
                  <c:v>Former Leichhardt Council area ratepayers</c:v>
                </c:pt>
                <c:pt idx="2">
                  <c:v>Former Marrickville Council area ratepayers</c:v>
                </c:pt>
              </c:strCache>
            </c:strRef>
          </c:cat>
          <c:val>
            <c:numRef>
              <c:f>Sheet1!$B$27:$D$27</c:f>
              <c:numCache>
                <c:formatCode>0%</c:formatCode>
                <c:ptCount val="3"/>
                <c:pt idx="0">
                  <c:v>0.2</c:v>
                </c:pt>
                <c:pt idx="1">
                  <c:v>0.5</c:v>
                </c:pt>
                <c:pt idx="2">
                  <c:v>0.3</c:v>
                </c:pt>
              </c:numCache>
            </c:numRef>
          </c:val>
          <c:extLst>
            <c:ext xmlns:c16="http://schemas.microsoft.com/office/drawing/2014/chart" uri="{C3380CC4-5D6E-409C-BE32-E72D297353CC}">
              <c16:uniqueId val="{00000001-B324-46F2-AED2-14A985E5AB3D}"/>
            </c:ext>
          </c:extLst>
        </c:ser>
        <c:dLbls>
          <c:showLegendKey val="0"/>
          <c:showVal val="0"/>
          <c:showCatName val="0"/>
          <c:showSerName val="0"/>
          <c:showPercent val="0"/>
          <c:showBubbleSize val="0"/>
        </c:dLbls>
        <c:gapWidth val="219"/>
        <c:overlap val="-27"/>
        <c:axId val="1217888031"/>
        <c:axId val="1323262111"/>
      </c:barChart>
      <c:catAx>
        <c:axId val="1217888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262111"/>
        <c:crosses val="autoZero"/>
        <c:auto val="1"/>
        <c:lblAlgn val="ctr"/>
        <c:lblOffset val="100"/>
        <c:noMultiLvlLbl val="0"/>
      </c:catAx>
      <c:valAx>
        <c:axId val="1323262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7888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8E6945A7C244FBAF26CD5BA637E6D" ma:contentTypeVersion="0" ma:contentTypeDescription="Create a new document." ma:contentTypeScope="" ma:versionID="a00c24687c406d92f64a7aaa2e116044">
  <xsd:schema xmlns:xsd="http://www.w3.org/2001/XMLSchema" xmlns:xs="http://www.w3.org/2001/XMLSchema" xmlns:p="http://schemas.microsoft.com/office/2006/metadata/properties" xmlns:ns1="http://schemas.microsoft.com/sharepoint/v3" xmlns:ns2="410b28b9-d7f6-46be-b2ea-18e28843a960" targetNamespace="http://schemas.microsoft.com/office/2006/metadata/properties" ma:root="true" ma:fieldsID="252d45e9c2920b0c5b917bf20b003973" ns1:_="" ns2:_="">
    <xsd:import namespace="http://schemas.microsoft.com/sharepoint/v3"/>
    <xsd:import namespace="410b28b9-d7f6-46be-b2ea-18e28843a960"/>
    <xsd:element name="properties">
      <xsd:complexType>
        <xsd:sequence>
          <xsd:element name="documentManagement">
            <xsd:complexType>
              <xsd:all>
                <xsd:element ref="ns1:RatingCount" minOccurs="0"/>
                <xsd:element ref="ns1:RatedBy" minOccurs="0"/>
                <xsd:element ref="ns1:Ratings" minOccurs="0"/>
                <xsd:element ref="ns1:AverageRating" minOccurs="0"/>
                <xsd:element ref="ns1:LikedBy" minOccurs="0"/>
                <xsd:element ref="ns1:LikesCoun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8" nillable="true" ma:displayName="Number of Ratings" ma:decimals="0" ma:description="Number of ratings submitted" ma:internalName="RatingCount" ma:readOnly="true">
      <xsd:simpleType>
        <xsd:restriction base="dms:Number"/>
      </xsd:simpleType>
    </xsd:element>
    <xsd:element name="RatedBy" ma:index="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0" nillable="true" ma:displayName="User ratings" ma:description="User ratings for the item" ma:hidden="true" ma:internalName="Ratings">
      <xsd:simpleType>
        <xsd:restriction base="dms:Note"/>
      </xsd:simpleType>
    </xsd:element>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LikedBy" ma:index="1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sCount" ma:index="13" nillable="true" ma:displayName="Number of Likes"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0b28b9-d7f6-46be-b2ea-18e28843a960" elementFormDefault="qualified">
    <xsd:import namespace="http://schemas.microsoft.com/office/2006/documentManagement/types"/>
    <xsd:import namespace="http://schemas.microsoft.com/office/infopath/2007/PartnerControls"/>
    <xsd:element name="TaxKeywordTaxHTField" ma:index="14"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KeywordTaxHTField xmlns="410b28b9-d7f6-46be-b2ea-18e28843a960"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E13-6B01-48FD-B409-C0DEB7AA6386}">
  <ds:schemaRefs>
    <ds:schemaRef ds:uri="http://schemas.microsoft.com/sharepoint/v3/contenttype/forms"/>
  </ds:schemaRefs>
</ds:datastoreItem>
</file>

<file path=customXml/itemProps2.xml><?xml version="1.0" encoding="utf-8"?>
<ds:datastoreItem xmlns:ds="http://schemas.openxmlformats.org/officeDocument/2006/customXml" ds:itemID="{9528B93E-2FA1-43BF-A48F-982B8716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28b9-d7f6-46be-b2ea-18e28843a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FD5AD-AFBF-4FAE-8EFE-EFDAA49BB665}">
  <ds:schemaRefs>
    <ds:schemaRef ds:uri="http://schemas.microsoft.com/office/2006/metadata/properties"/>
    <ds:schemaRef ds:uri="http://schemas.microsoft.com/office/infopath/2007/PartnerControls"/>
    <ds:schemaRef ds:uri="http://schemas.microsoft.com/sharepoint/v3"/>
    <ds:schemaRef ds:uri="410b28b9-d7f6-46be-b2ea-18e28843a960"/>
  </ds:schemaRefs>
</ds:datastoreItem>
</file>

<file path=customXml/itemProps4.xml><?xml version="1.0" encoding="utf-8"?>
<ds:datastoreItem xmlns:ds="http://schemas.openxmlformats.org/officeDocument/2006/customXml" ds:itemID="{2FD42E81-AA93-4CE2-AAE8-9E7C6551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1677</Words>
  <Characters>9045</Characters>
  <Application>Microsoft Office Word</Application>
  <DocSecurity>0</DocSecurity>
  <Lines>311</Lines>
  <Paragraphs>249</Paragraphs>
  <ScaleCrop>false</ScaleCrop>
  <Company/>
  <LinksUpToDate>false</LinksUpToDate>
  <CharactersWithSpaces>10473</CharactersWithSpaces>
  <SharedDoc>false</SharedDoc>
  <HLinks>
    <vt:vector size="60" baseType="variant">
      <vt:variant>
        <vt:i4>5505089</vt:i4>
      </vt:variant>
      <vt:variant>
        <vt:i4>27</vt:i4>
      </vt:variant>
      <vt:variant>
        <vt:i4>0</vt:i4>
      </vt:variant>
      <vt:variant>
        <vt:i4>5</vt:i4>
      </vt:variant>
      <vt:variant>
        <vt:lpwstr>http://www.dss.gov.au/contact/national-relay-service</vt:lpwstr>
      </vt:variant>
      <vt:variant>
        <vt:lpwstr/>
      </vt:variant>
      <vt:variant>
        <vt:i4>7798858</vt:i4>
      </vt:variant>
      <vt:variant>
        <vt:i4>24</vt:i4>
      </vt:variant>
      <vt:variant>
        <vt:i4>0</vt:i4>
      </vt:variant>
      <vt:variant>
        <vt:i4>5</vt:i4>
      </vt:variant>
      <vt:variant>
        <vt:lpwstr>mailto:myrates@innerwest.nsw.gov.au</vt:lpwstr>
      </vt:variant>
      <vt:variant>
        <vt:lpwstr/>
      </vt:variant>
      <vt:variant>
        <vt:i4>5177353</vt:i4>
      </vt:variant>
      <vt:variant>
        <vt:i4>21</vt:i4>
      </vt:variant>
      <vt:variant>
        <vt:i4>0</vt:i4>
      </vt:variant>
      <vt:variant>
        <vt:i4>5</vt:i4>
      </vt:variant>
      <vt:variant>
        <vt:lpwstr>https://www.ipart.nsw.gov.au/Home/Industries/Local-Government/For-Ratepayers</vt:lpwstr>
      </vt:variant>
      <vt:variant>
        <vt:lpwstr/>
      </vt:variant>
      <vt:variant>
        <vt:i4>5177468</vt:i4>
      </vt:variant>
      <vt:variant>
        <vt:i4>18</vt:i4>
      </vt:variant>
      <vt:variant>
        <vt:i4>0</vt:i4>
      </vt:variant>
      <vt:variant>
        <vt:i4>5</vt:i4>
      </vt:variant>
      <vt:variant>
        <vt:lpwstr>C:\Users\comengage2\AppData\Local\Microsoft\Windows\INetCache\Content.Outlook\Q6N434OG\yoursay.innerwest.nsw.gov.au\my-rates</vt:lpwstr>
      </vt:variant>
      <vt:variant>
        <vt:lpwstr/>
      </vt:variant>
      <vt:variant>
        <vt:i4>7602289</vt:i4>
      </vt:variant>
      <vt:variant>
        <vt:i4>15</vt:i4>
      </vt:variant>
      <vt:variant>
        <vt:i4>0</vt:i4>
      </vt:variant>
      <vt:variant>
        <vt:i4>5</vt:i4>
      </vt:variant>
      <vt:variant>
        <vt:lpwstr>https://www.innerwest.nsw.gov.au/live/information-for-residents/rates/rates-calculator/rates-calculator</vt:lpwstr>
      </vt:variant>
      <vt:variant>
        <vt:lpwstr/>
      </vt:variant>
      <vt:variant>
        <vt:i4>5177353</vt:i4>
      </vt:variant>
      <vt:variant>
        <vt:i4>12</vt:i4>
      </vt:variant>
      <vt:variant>
        <vt:i4>0</vt:i4>
      </vt:variant>
      <vt:variant>
        <vt:i4>5</vt:i4>
      </vt:variant>
      <vt:variant>
        <vt:lpwstr>https://www.ipart.nsw.gov.au/Home/Industries/Local-Government/For-Ratepayers</vt:lpwstr>
      </vt:variant>
      <vt:variant>
        <vt:lpwstr/>
      </vt:variant>
      <vt:variant>
        <vt:i4>1245238</vt:i4>
      </vt:variant>
      <vt:variant>
        <vt:i4>9</vt:i4>
      </vt:variant>
      <vt:variant>
        <vt:i4>0</vt:i4>
      </vt:variant>
      <vt:variant>
        <vt:i4>5</vt:i4>
      </vt:variant>
      <vt:variant>
        <vt:lpwstr>https://www.valuergeneral.nsw.gov.au/land_values/where_can_you_learn_more_about_your_land_value/land_values_online</vt:lpwstr>
      </vt:variant>
      <vt:variant>
        <vt:lpwstr/>
      </vt:variant>
      <vt:variant>
        <vt:i4>8126577</vt:i4>
      </vt:variant>
      <vt:variant>
        <vt:i4>6</vt:i4>
      </vt:variant>
      <vt:variant>
        <vt:i4>0</vt:i4>
      </vt:variant>
      <vt:variant>
        <vt:i4>5</vt:i4>
      </vt:variant>
      <vt:variant>
        <vt:lpwstr>https://www.innerwest.nsw.gov.au/live/information-for-residents/rates/rates-rebates-for-pensioners</vt:lpwstr>
      </vt:variant>
      <vt:variant>
        <vt:lpwstr/>
      </vt:variant>
      <vt:variant>
        <vt:i4>7602289</vt:i4>
      </vt:variant>
      <vt:variant>
        <vt:i4>3</vt:i4>
      </vt:variant>
      <vt:variant>
        <vt:i4>0</vt:i4>
      </vt:variant>
      <vt:variant>
        <vt:i4>5</vt:i4>
      </vt:variant>
      <vt:variant>
        <vt:lpwstr>https://www.innerwest.nsw.gov.au/live/information-for-residents/rates/rates-calculator/rates-calculator</vt:lpwstr>
      </vt:variant>
      <vt:variant>
        <vt:lpwstr/>
      </vt:variant>
      <vt:variant>
        <vt:i4>1245238</vt:i4>
      </vt:variant>
      <vt:variant>
        <vt:i4>0</vt:i4>
      </vt:variant>
      <vt:variant>
        <vt:i4>0</vt:i4>
      </vt:variant>
      <vt:variant>
        <vt:i4>5</vt:i4>
      </vt:variant>
      <vt:variant>
        <vt:lpwstr>https://www.valuergeneral.nsw.gov.au/land_values/where_can_you_learn_more_about_your_land_value/land_values_online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Krchnakova</dc:creator>
  <cp:keywords/>
  <dc:description/>
  <cp:lastModifiedBy>Annie Coulthard</cp:lastModifiedBy>
  <cp:revision>3</cp:revision>
  <dcterms:created xsi:type="dcterms:W3CDTF">2021-01-12T03:42:00Z</dcterms:created>
  <dcterms:modified xsi:type="dcterms:W3CDTF">2021-01-12T03:48:00Z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0x0101009068E6945A7C244FBAF26CD5BA637E6D</vt:lpwstr>
  </property>
  <property fmtid="{D5CDD505-2E9C-101B-9397-08002B2CF9AE}" pid="3" name="TaxKeyword">
    <vt:lpwstr/>
  </property>
  <property fmtid="{D5CDD505-2E9C-101B-9397-08002B2CF9AE}" pid="4" name="IntranetTaxonomy">
    <vt:lpwstr/>
  </property>
  <property fmtid="{D5CDD505-2E9C-101B-9397-08002B2CF9AE}" pid="5" name="DocumentSource">
    <vt:lpwstr/>
  </property>
  <property fmtid="{D5CDD505-2E9C-101B-9397-08002B2CF9AE}" pid="6" name="DocumentSecurity">
    <vt:lpwstr/>
  </property>
  <property fmtid="{D5CDD505-2E9C-101B-9397-08002B2CF9AE}" pid="7" name="f8b7869aa2094466b1c231a3bb038c09">
    <vt:lpwstr/>
  </property>
  <property fmtid="{D5CDD505-2E9C-101B-9397-08002B2CF9AE}" pid="8" name="o4702d0dec304602864c3977d9cd70fe">
    <vt:lpwstr/>
  </property>
  <property fmtid="{D5CDD505-2E9C-101B-9397-08002B2CF9AE}" pid="9" name="n7690719ed1642fb97604931fe5c3290">
    <vt:lpwstr/>
  </property>
  <property fmtid="{D5CDD505-2E9C-101B-9397-08002B2CF9AE}" pid="10" name="TaxCatchAll">
    <vt:lpwstr/>
  </property>
  <property fmtid="{D5CDD505-2E9C-101B-9397-08002B2CF9AE}" pid="11" name="SharedWithUsers">
    <vt:lpwstr>579;#Daryl Jackson;#1496;#Peter Goddard;#611;#Brendhan Barry</vt:lpwstr>
  </property>
</Properties>
</file>