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D8BFB" w14:textId="3263917C" w:rsidR="002F48BB" w:rsidRPr="00602D3B" w:rsidRDefault="002F48BB" w:rsidP="00767FAA">
      <w:pPr>
        <w:pStyle w:val="Heading1"/>
        <w:rPr>
          <w:sz w:val="48"/>
          <w:szCs w:val="48"/>
        </w:rPr>
      </w:pPr>
    </w:p>
    <w:p w14:paraId="213E2B11" w14:textId="77777777" w:rsidR="00E53380" w:rsidRDefault="00E53380" w:rsidP="00A20CFB">
      <w:pPr>
        <w:pStyle w:val="Title"/>
        <w:rPr>
          <w:rFonts w:ascii="Arial" w:hAnsi="Arial" w:cs="Arial"/>
        </w:rPr>
      </w:pPr>
    </w:p>
    <w:p w14:paraId="4AF9B76A" w14:textId="77777777" w:rsidR="00E53380" w:rsidRDefault="00E53380" w:rsidP="00A20CFB">
      <w:pPr>
        <w:pStyle w:val="Title"/>
        <w:rPr>
          <w:rFonts w:ascii="Arial" w:hAnsi="Arial" w:cs="Arial"/>
        </w:rPr>
      </w:pPr>
    </w:p>
    <w:p w14:paraId="70C2BAFD" w14:textId="6906F534" w:rsidR="00767FAA" w:rsidRPr="00A20CFB" w:rsidRDefault="00767FAA" w:rsidP="00A20CFB">
      <w:pPr>
        <w:pStyle w:val="Title"/>
        <w:rPr>
          <w:rFonts w:ascii="Arial" w:hAnsi="Arial" w:cs="Arial"/>
        </w:rPr>
      </w:pPr>
      <w:r w:rsidRPr="00A20CFB">
        <w:rPr>
          <w:rFonts w:ascii="Arial" w:hAnsi="Arial" w:cs="Arial"/>
        </w:rPr>
        <w:t>Engagement outcomes report</w:t>
      </w:r>
    </w:p>
    <w:p w14:paraId="7E00A3EE" w14:textId="77777777" w:rsidR="00E53380" w:rsidRDefault="00E53380" w:rsidP="00A20CFB">
      <w:pPr>
        <w:pStyle w:val="Title"/>
      </w:pPr>
    </w:p>
    <w:p w14:paraId="798C7B23" w14:textId="54B8E9F3" w:rsidR="00177095" w:rsidRDefault="001A2FD5" w:rsidP="00A20CFB">
      <w:pPr>
        <w:pStyle w:val="Title"/>
      </w:pPr>
      <w:r w:rsidRPr="000E09BF">
        <w:t>Drafts of Council's key strategic documents</w:t>
      </w:r>
      <w:r>
        <w:t xml:space="preserve"> including:</w:t>
      </w:r>
    </w:p>
    <w:p w14:paraId="54F3FF4B" w14:textId="77777777" w:rsidR="00E53380" w:rsidRPr="00E53380" w:rsidRDefault="00E53380" w:rsidP="00055BFD"/>
    <w:p w14:paraId="24D185FB" w14:textId="77777777" w:rsidR="00384742" w:rsidRDefault="00384742" w:rsidP="00306263">
      <w:pPr>
        <w:pStyle w:val="ListParagraph"/>
        <w:numPr>
          <w:ilvl w:val="0"/>
          <w:numId w:val="11"/>
        </w:numPr>
      </w:pPr>
      <w:r>
        <w:t xml:space="preserve">IWC Revised Delivery Program 18/22 and combined Operational Plan 2020/21 and Budget 20/21 </w:t>
      </w:r>
    </w:p>
    <w:p w14:paraId="15A27048" w14:textId="307A1102" w:rsidR="00384742" w:rsidRDefault="00384742" w:rsidP="00306263">
      <w:pPr>
        <w:pStyle w:val="ListParagraph"/>
        <w:numPr>
          <w:ilvl w:val="0"/>
          <w:numId w:val="11"/>
        </w:numPr>
      </w:pPr>
      <w:r>
        <w:t xml:space="preserve">IWC Fees and Charges 20/21 </w:t>
      </w:r>
    </w:p>
    <w:p w14:paraId="35453034" w14:textId="3D28947C" w:rsidR="001A2FD5" w:rsidRPr="001A2FD5" w:rsidRDefault="00384742" w:rsidP="00306263">
      <w:pPr>
        <w:pStyle w:val="ListParagraph"/>
        <w:numPr>
          <w:ilvl w:val="0"/>
          <w:numId w:val="11"/>
        </w:numPr>
      </w:pPr>
      <w:r>
        <w:t xml:space="preserve">IWC Updated Long-Term Financial Plan 2018-28 </w:t>
      </w:r>
    </w:p>
    <w:p w14:paraId="1989C0DF" w14:textId="77777777" w:rsidR="00E53380" w:rsidRDefault="00E53380">
      <w:pPr>
        <w:rPr>
          <w:rFonts w:eastAsiaTheme="majorEastAsia" w:cstheme="majorBidi"/>
          <w:sz w:val="44"/>
          <w:szCs w:val="32"/>
        </w:rPr>
      </w:pPr>
      <w:r>
        <w:br w:type="page"/>
      </w:r>
    </w:p>
    <w:p w14:paraId="1D5CD80A" w14:textId="300DB948" w:rsidR="005A647C" w:rsidRPr="00A20CFB" w:rsidRDefault="00A05208" w:rsidP="000C44F3">
      <w:pPr>
        <w:pStyle w:val="Heading1"/>
      </w:pPr>
      <w:commentRangeStart w:id="0"/>
      <w:r w:rsidRPr="00A20CFB">
        <w:lastRenderedPageBreak/>
        <w:t>Summary</w:t>
      </w:r>
      <w:commentRangeEnd w:id="0"/>
      <w:r w:rsidR="00E53380">
        <w:rPr>
          <w:rStyle w:val="CommentReference"/>
          <w:rFonts w:eastAsiaTheme="minorHAnsi" w:cstheme="minorBidi"/>
        </w:rPr>
        <w:commentReference w:id="0"/>
      </w:r>
    </w:p>
    <w:p w14:paraId="0DD8C7E2" w14:textId="77777777" w:rsidR="00A05208" w:rsidRPr="00A20CFB" w:rsidRDefault="00A938F3" w:rsidP="00A05208">
      <w:pPr>
        <w:rPr>
          <w:rFonts w:cs="Arial"/>
        </w:rPr>
      </w:pPr>
      <w:r w:rsidRPr="00A20CFB">
        <w:rPr>
          <w:rFonts w:cs="Arial"/>
          <w:noProof/>
        </w:rPr>
        <mc:AlternateContent>
          <mc:Choice Requires="wps">
            <w:drawing>
              <wp:inline distT="0" distB="0" distL="0" distR="0" wp14:anchorId="21B020E5" wp14:editId="187BB291">
                <wp:extent cx="5731510" cy="2838450"/>
                <wp:effectExtent l="0" t="0" r="2159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838450"/>
                        </a:xfrm>
                        <a:prstGeom prst="rect">
                          <a:avLst/>
                        </a:prstGeom>
                        <a:solidFill>
                          <a:schemeClr val="accent1">
                            <a:lumMod val="20000"/>
                            <a:lumOff val="80000"/>
                          </a:schemeClr>
                        </a:solidFill>
                        <a:ln w="9525">
                          <a:solidFill>
                            <a:srgbClr val="000000"/>
                          </a:solidFill>
                          <a:miter lim="800000"/>
                          <a:headEnd/>
                          <a:tailEnd/>
                        </a:ln>
                      </wps:spPr>
                      <wps:txbx>
                        <w:txbxContent>
                          <w:p w14:paraId="2BBD3917" w14:textId="4687B164" w:rsidR="00633FD4" w:rsidRPr="00633FD4" w:rsidRDefault="00D0742D" w:rsidP="00633FD4">
                            <w:pPr>
                              <w:spacing w:before="240"/>
                              <w:rPr>
                                <w:rFonts w:cs="Arial"/>
                              </w:rPr>
                            </w:pPr>
                            <w:r w:rsidRPr="00D0742D">
                              <w:rPr>
                                <w:rFonts w:cs="Arial"/>
                              </w:rPr>
                              <w:t>Council</w:t>
                            </w:r>
                            <w:r w:rsidR="00BE3F9E">
                              <w:rPr>
                                <w:rFonts w:cs="Arial"/>
                              </w:rPr>
                              <w:t xml:space="preserve">s are required to </w:t>
                            </w:r>
                            <w:r w:rsidR="009A55A6">
                              <w:rPr>
                                <w:rFonts w:cs="Arial"/>
                              </w:rPr>
                              <w:t xml:space="preserve">draft key strategic documents in the </w:t>
                            </w:r>
                            <w:r w:rsidRPr="00D0742D">
                              <w:rPr>
                                <w:rFonts w:cs="Arial"/>
                              </w:rPr>
                              <w:t xml:space="preserve">Integrated Planning and Reporting </w:t>
                            </w:r>
                            <w:r w:rsidR="009A55A6">
                              <w:rPr>
                                <w:rFonts w:cs="Arial"/>
                              </w:rPr>
                              <w:t>framework</w:t>
                            </w:r>
                            <w:r w:rsidRPr="00D0742D">
                              <w:rPr>
                                <w:rFonts w:cs="Arial"/>
                              </w:rPr>
                              <w:t xml:space="preserve"> under the Local Government Act 1993 and Local Government (General) Regulation 2005</w:t>
                            </w:r>
                            <w:r w:rsidR="009A55A6">
                              <w:rPr>
                                <w:rFonts w:cs="Arial"/>
                              </w:rPr>
                              <w:t xml:space="preserve">. </w:t>
                            </w:r>
                          </w:p>
                          <w:p w14:paraId="69B9F404" w14:textId="6C8A115C" w:rsidR="00D0742D" w:rsidRDefault="00633FD4" w:rsidP="00633FD4">
                            <w:pPr>
                              <w:spacing w:before="240"/>
                              <w:rPr>
                                <w:rFonts w:cs="Arial"/>
                              </w:rPr>
                            </w:pPr>
                            <w:r w:rsidRPr="00633FD4">
                              <w:rPr>
                                <w:rFonts w:cs="Arial"/>
                              </w:rPr>
                              <w:t>The prior deadline for these documents to be adopted was the 30 June 2020 but due to the Covid-19 pandemic, the Minister for Local Government made modifications to the statutory requirements as outlined in Circular 20-12/ 17 April 2020/ A696830.</w:t>
                            </w:r>
                          </w:p>
                          <w:p w14:paraId="1CB20BD3" w14:textId="52976B5F" w:rsidR="00AE2B54" w:rsidRDefault="00045AD9" w:rsidP="00AE2B54">
                            <w:pPr>
                              <w:spacing w:before="240"/>
                              <w:rPr>
                                <w:rFonts w:cs="Arial"/>
                              </w:rPr>
                            </w:pPr>
                            <w:r>
                              <w:rPr>
                                <w:rFonts w:cs="Arial"/>
                              </w:rPr>
                              <w:t xml:space="preserve">Council’s </w:t>
                            </w:r>
                            <w:r w:rsidR="00AE2B54">
                              <w:rPr>
                                <w:rFonts w:cs="Arial"/>
                              </w:rPr>
                              <w:t xml:space="preserve">Draft versions of the </w:t>
                            </w:r>
                            <w:r w:rsidR="00AE2B54" w:rsidRPr="00AE2B54">
                              <w:rPr>
                                <w:rFonts w:cs="Arial"/>
                              </w:rPr>
                              <w:t>Revised Delivery Program 18/22 and combined Operational Plan 2020/21 and Budget 20/21</w:t>
                            </w:r>
                            <w:r w:rsidR="00AE2B54">
                              <w:rPr>
                                <w:rFonts w:cs="Arial"/>
                              </w:rPr>
                              <w:t xml:space="preserve">, </w:t>
                            </w:r>
                            <w:r w:rsidR="00AE2B54" w:rsidRPr="00AE2B54">
                              <w:rPr>
                                <w:rFonts w:cs="Arial"/>
                              </w:rPr>
                              <w:t>Fees and Charges 20/21</w:t>
                            </w:r>
                            <w:r w:rsidR="00AE2B54">
                              <w:rPr>
                                <w:rFonts w:cs="Arial"/>
                              </w:rPr>
                              <w:t xml:space="preserve"> and </w:t>
                            </w:r>
                            <w:r w:rsidR="00AE2B54" w:rsidRPr="00AE2B54">
                              <w:rPr>
                                <w:rFonts w:cs="Arial"/>
                              </w:rPr>
                              <w:t xml:space="preserve">Updated Long-Term Financial Plan 2018-28 </w:t>
                            </w:r>
                            <w:r>
                              <w:rPr>
                                <w:rFonts w:cs="Arial"/>
                              </w:rPr>
                              <w:t>were publicly exhibited</w:t>
                            </w:r>
                            <w:r w:rsidR="00730C5F">
                              <w:rPr>
                                <w:rFonts w:cs="Arial"/>
                              </w:rPr>
                              <w:t xml:space="preserve"> for 28 days</w:t>
                            </w:r>
                            <w:r>
                              <w:rPr>
                                <w:rFonts w:cs="Arial"/>
                              </w:rPr>
                              <w:t xml:space="preserve"> </w:t>
                            </w:r>
                            <w:r w:rsidRPr="00633FD4">
                              <w:rPr>
                                <w:rFonts w:cs="Arial"/>
                              </w:rPr>
                              <w:t xml:space="preserve">from 10 June to 7 July 2020. </w:t>
                            </w:r>
                          </w:p>
                          <w:p w14:paraId="638687D6" w14:textId="55C4BCBF" w:rsidR="00A938F3" w:rsidRPr="00A20CFB" w:rsidRDefault="000735D4" w:rsidP="00A20CFB">
                            <w:pPr>
                              <w:spacing w:before="240"/>
                              <w:rPr>
                                <w:rFonts w:cs="Arial"/>
                              </w:rPr>
                            </w:pPr>
                            <w:r>
                              <w:rPr>
                                <w:rFonts w:cs="Arial"/>
                              </w:rPr>
                              <w:t>Twenty-two (22)</w:t>
                            </w:r>
                            <w:r w:rsidR="00045AD9" w:rsidRPr="00633FD4">
                              <w:rPr>
                                <w:rFonts w:cs="Arial"/>
                              </w:rPr>
                              <w:t xml:space="preserve"> submissions were received, with feedback considered before finalisation of the draft documents.</w:t>
                            </w:r>
                          </w:p>
                        </w:txbxContent>
                      </wps:txbx>
                      <wps:bodyPr rot="0" vert="horz" wrap="square" lIns="91440" tIns="45720" rIns="91440" bIns="45720" anchor="t" anchorCtr="0">
                        <a:noAutofit/>
                      </wps:bodyPr>
                    </wps:wsp>
                  </a:graphicData>
                </a:graphic>
              </wp:inline>
            </w:drawing>
          </mc:Choice>
          <mc:Fallback>
            <w:pict>
              <v:shapetype w14:anchorId="21B020E5" id="_x0000_t202" coordsize="21600,21600" o:spt="202" path="m,l,21600r21600,l21600,xe">
                <v:stroke joinstyle="miter"/>
                <v:path gradientshapeok="t" o:connecttype="rect"/>
              </v:shapetype>
              <v:shape id="Text Box 2" o:spid="_x0000_s1026" type="#_x0000_t202" style="width:451.3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" fillcolor="#d9e2f3 [660]">
                <v:textbox>
                  <w:txbxContent>
                    <w:p w14:paraId="2BBD3917" w14:textId="4687B164" w:rsidR="00633FD4" w:rsidRPr="00633FD4" w:rsidRDefault="00D0742D" w:rsidP="00633FD4">
                      <w:pPr>
                        <w:spacing w:before="240"/>
                        <w:rPr>
                          <w:rFonts w:cs="Arial"/>
                        </w:rPr>
                      </w:pPr>
                      <w:r w:rsidRPr="00D0742D">
                        <w:rPr>
                          <w:rFonts w:cs="Arial"/>
                        </w:rPr>
                        <w:t>Council</w:t>
                      </w:r>
                      <w:r w:rsidR="00BE3F9E">
                        <w:rPr>
                          <w:rFonts w:cs="Arial"/>
                        </w:rPr>
                        <w:t xml:space="preserve">s are required to </w:t>
                      </w:r>
                      <w:r w:rsidR="009A55A6">
                        <w:rPr>
                          <w:rFonts w:cs="Arial"/>
                        </w:rPr>
                        <w:t xml:space="preserve">draft key strategic documents in the </w:t>
                      </w:r>
                      <w:r w:rsidRPr="00D0742D">
                        <w:rPr>
                          <w:rFonts w:cs="Arial"/>
                        </w:rPr>
                        <w:t xml:space="preserve">Integrated Planning and Reporting </w:t>
                      </w:r>
                      <w:r w:rsidR="009A55A6">
                        <w:rPr>
                          <w:rFonts w:cs="Arial"/>
                        </w:rPr>
                        <w:t>framework</w:t>
                      </w:r>
                      <w:r w:rsidRPr="00D0742D">
                        <w:rPr>
                          <w:rFonts w:cs="Arial"/>
                        </w:rPr>
                        <w:t xml:space="preserve"> under the Local Government Act 1993 and Local Government (General) Regulation 2005</w:t>
                      </w:r>
                      <w:r w:rsidR="009A55A6">
                        <w:rPr>
                          <w:rFonts w:cs="Arial"/>
                        </w:rPr>
                        <w:t xml:space="preserve">. </w:t>
                      </w:r>
                    </w:p>
                    <w:p w14:paraId="69B9F404" w14:textId="6C8A115C" w:rsidR="00D0742D" w:rsidRDefault="00633FD4" w:rsidP="00633FD4">
                      <w:pPr>
                        <w:spacing w:before="240"/>
                        <w:rPr>
                          <w:rFonts w:cs="Arial"/>
                        </w:rPr>
                      </w:pPr>
                      <w:r w:rsidRPr="00633FD4">
                        <w:rPr>
                          <w:rFonts w:cs="Arial"/>
                        </w:rPr>
                        <w:t>The prior deadline for these documents to be adopted was the 30 June 2020 but due to the Covid-19 pandemic, the Minister for Local Government made modifications to the statutory requirements as outlined in Circular 20-12/ 17 April 2020/ A696830.</w:t>
                      </w:r>
                    </w:p>
                    <w:p w14:paraId="1CB20BD3" w14:textId="52976B5F" w:rsidR="00AE2B54" w:rsidRDefault="00045AD9" w:rsidP="00AE2B54">
                      <w:pPr>
                        <w:spacing w:before="240"/>
                        <w:rPr>
                          <w:rFonts w:cs="Arial"/>
                        </w:rPr>
                      </w:pPr>
                      <w:r>
                        <w:rPr>
                          <w:rFonts w:cs="Arial"/>
                        </w:rPr>
                        <w:t xml:space="preserve">Council’s </w:t>
                      </w:r>
                      <w:r w:rsidR="00AE2B54">
                        <w:rPr>
                          <w:rFonts w:cs="Arial"/>
                        </w:rPr>
                        <w:t xml:space="preserve">Draft versions of the </w:t>
                      </w:r>
                      <w:r w:rsidR="00AE2B54" w:rsidRPr="00AE2B54">
                        <w:rPr>
                          <w:rFonts w:cs="Arial"/>
                        </w:rPr>
                        <w:t>Revised Delivery Program 18/22 and combined Operational Plan 2020/21 and Budget 20/21</w:t>
                      </w:r>
                      <w:r w:rsidR="00AE2B54">
                        <w:rPr>
                          <w:rFonts w:cs="Arial"/>
                        </w:rPr>
                        <w:t xml:space="preserve">, </w:t>
                      </w:r>
                      <w:r w:rsidR="00AE2B54" w:rsidRPr="00AE2B54">
                        <w:rPr>
                          <w:rFonts w:cs="Arial"/>
                        </w:rPr>
                        <w:t>Fees and Charges 20/21</w:t>
                      </w:r>
                      <w:r w:rsidR="00AE2B54">
                        <w:rPr>
                          <w:rFonts w:cs="Arial"/>
                        </w:rPr>
                        <w:t xml:space="preserve"> and </w:t>
                      </w:r>
                      <w:r w:rsidR="00AE2B54" w:rsidRPr="00AE2B54">
                        <w:rPr>
                          <w:rFonts w:cs="Arial"/>
                        </w:rPr>
                        <w:t xml:space="preserve">Updated Long-Term Financial Plan 2018-28 </w:t>
                      </w:r>
                      <w:r>
                        <w:rPr>
                          <w:rFonts w:cs="Arial"/>
                        </w:rPr>
                        <w:t>were publicly exhibited</w:t>
                      </w:r>
                      <w:r w:rsidR="00730C5F">
                        <w:rPr>
                          <w:rFonts w:cs="Arial"/>
                        </w:rPr>
                        <w:t xml:space="preserve"> for 28 days</w:t>
                      </w:r>
                      <w:r>
                        <w:rPr>
                          <w:rFonts w:cs="Arial"/>
                        </w:rPr>
                        <w:t xml:space="preserve"> </w:t>
                      </w:r>
                      <w:r w:rsidRPr="00633FD4">
                        <w:rPr>
                          <w:rFonts w:cs="Arial"/>
                        </w:rPr>
                        <w:t xml:space="preserve">from 10 June to 7 July 2020. </w:t>
                      </w:r>
                    </w:p>
                    <w:p w14:paraId="638687D6" w14:textId="55C4BCBF" w:rsidR="00A938F3" w:rsidRPr="00A20CFB" w:rsidRDefault="000735D4" w:rsidP="00A20CFB">
                      <w:pPr>
                        <w:spacing w:before="240"/>
                        <w:rPr>
                          <w:rFonts w:cs="Arial"/>
                        </w:rPr>
                      </w:pPr>
                      <w:r>
                        <w:rPr>
                          <w:rFonts w:cs="Arial"/>
                        </w:rPr>
                        <w:t>Twenty-two (22)</w:t>
                      </w:r>
                      <w:r w:rsidR="00045AD9" w:rsidRPr="00633FD4">
                        <w:rPr>
                          <w:rFonts w:cs="Arial"/>
                        </w:rPr>
                        <w:t xml:space="preserve"> submissions were received, with feedback considered before finalisation of the draft documents.</w:t>
                      </w:r>
                    </w:p>
                  </w:txbxContent>
                </v:textbox>
                <w10:anchorlock/>
              </v:shape>
            </w:pict>
          </mc:Fallback>
        </mc:AlternateContent>
      </w:r>
    </w:p>
    <w:p w14:paraId="4AC967DF" w14:textId="77777777" w:rsidR="007B4584" w:rsidRPr="007435D0" w:rsidRDefault="007B4584" w:rsidP="000C44F3">
      <w:pPr>
        <w:pStyle w:val="Heading1"/>
        <w:rPr>
          <w:sz w:val="32"/>
        </w:rPr>
      </w:pPr>
      <w:r w:rsidRPr="007435D0">
        <w:rPr>
          <w:sz w:val="32"/>
        </w:rPr>
        <w:t>Background</w:t>
      </w:r>
    </w:p>
    <w:p w14:paraId="70D143E1" w14:textId="6105196F" w:rsidR="00094316" w:rsidRDefault="00094316" w:rsidP="00094316">
      <w:pPr>
        <w:rPr>
          <w:rFonts w:cs="Arial"/>
        </w:rPr>
      </w:pPr>
      <w:r w:rsidRPr="00094316">
        <w:rPr>
          <w:rFonts w:cs="Arial"/>
        </w:rPr>
        <w:t>In line with Council’s Community Engagement Framework, the goal of this engagement was to consult the public by seeking feedback on the documents prior to finalisation and adoption.</w:t>
      </w:r>
    </w:p>
    <w:p w14:paraId="1BAD9596" w14:textId="77777777" w:rsidR="00E53380" w:rsidRPr="00094316" w:rsidRDefault="00E53380" w:rsidP="00094316">
      <w:pPr>
        <w:rPr>
          <w:rFonts w:cs="Arial"/>
        </w:rPr>
      </w:pPr>
    </w:p>
    <w:p w14:paraId="5FC2B366" w14:textId="77777777" w:rsidR="008225C5" w:rsidRPr="007435D0" w:rsidRDefault="00E562CB" w:rsidP="00767FAA">
      <w:pPr>
        <w:pStyle w:val="Heading2"/>
        <w:rPr>
          <w:rFonts w:cs="Arial"/>
          <w:sz w:val="32"/>
          <w:szCs w:val="32"/>
        </w:rPr>
      </w:pPr>
      <w:r w:rsidRPr="007435D0">
        <w:rPr>
          <w:rFonts w:cs="Arial"/>
          <w:sz w:val="32"/>
          <w:szCs w:val="32"/>
        </w:rPr>
        <w:t>Engagement Methods</w:t>
      </w:r>
    </w:p>
    <w:p w14:paraId="4B6937FB" w14:textId="20F9CFF6" w:rsidR="008759AF" w:rsidRPr="00094316" w:rsidRDefault="00094316" w:rsidP="00244F74">
      <w:pPr>
        <w:spacing w:after="0"/>
        <w:rPr>
          <w:rFonts w:cs="Arial"/>
        </w:rPr>
      </w:pPr>
      <w:r>
        <w:rPr>
          <w:rFonts w:cs="Arial"/>
        </w:rPr>
        <w:t xml:space="preserve">The </w:t>
      </w:r>
      <w:r w:rsidR="008225C5" w:rsidRPr="00094316">
        <w:rPr>
          <w:rFonts w:cs="Arial"/>
        </w:rPr>
        <w:t>method</w:t>
      </w:r>
      <w:r>
        <w:rPr>
          <w:rFonts w:cs="Arial"/>
        </w:rPr>
        <w:t>s</w:t>
      </w:r>
      <w:r w:rsidR="008225C5" w:rsidRPr="00094316">
        <w:rPr>
          <w:rFonts w:cs="Arial"/>
        </w:rPr>
        <w:t xml:space="preserve"> of engagement</w:t>
      </w:r>
      <w:r>
        <w:rPr>
          <w:rFonts w:cs="Arial"/>
        </w:rPr>
        <w:t xml:space="preserve"> were:</w:t>
      </w:r>
    </w:p>
    <w:p w14:paraId="1E956F8D" w14:textId="3BC9E081" w:rsidR="008759AF" w:rsidRPr="00A20CFB" w:rsidRDefault="008759AF" w:rsidP="0012120E">
      <w:pPr>
        <w:pStyle w:val="ListParagraph"/>
        <w:numPr>
          <w:ilvl w:val="0"/>
          <w:numId w:val="12"/>
        </w:numPr>
        <w:rPr>
          <w:rFonts w:cs="Arial"/>
        </w:rPr>
      </w:pPr>
      <w:r w:rsidRPr="00A20CFB">
        <w:rPr>
          <w:rFonts w:cs="Arial"/>
        </w:rPr>
        <w:t xml:space="preserve">Online </w:t>
      </w:r>
      <w:r w:rsidR="00E53380">
        <w:rPr>
          <w:rFonts w:cs="Arial"/>
        </w:rPr>
        <w:t>via  Your Say Inner West</w:t>
      </w:r>
      <w:r w:rsidR="00E53380" w:rsidRPr="00A20CFB">
        <w:rPr>
          <w:rFonts w:cs="Arial"/>
        </w:rPr>
        <w:t xml:space="preserve"> </w:t>
      </w:r>
      <w:r w:rsidR="00E53380">
        <w:rPr>
          <w:rFonts w:cs="Arial"/>
        </w:rPr>
        <w:t xml:space="preserve">at </w:t>
      </w:r>
      <w:hyperlink r:id="rId14" w:history="1">
        <w:r w:rsidR="00E53380">
          <w:rPr>
            <w:rStyle w:val="Hyperlink"/>
          </w:rPr>
          <w:t>yoursay.innerwest.nsw.gov.au/council-strategic-documents-2020-2030</w:t>
        </w:r>
      </w:hyperlink>
    </w:p>
    <w:p w14:paraId="74CB755F" w14:textId="77777777" w:rsidR="007B4584" w:rsidRPr="00A20CFB" w:rsidRDefault="007B4584" w:rsidP="000C44F3">
      <w:pPr>
        <w:pStyle w:val="Heading1"/>
      </w:pPr>
      <w:r w:rsidRPr="007435D0">
        <w:rPr>
          <w:sz w:val="32"/>
        </w:rPr>
        <w:t>Promotion</w:t>
      </w:r>
      <w:r w:rsidR="00327B37" w:rsidRPr="00A20CFB">
        <w:t xml:space="preserve"> </w:t>
      </w:r>
    </w:p>
    <w:p w14:paraId="46005D78" w14:textId="457614AD" w:rsidR="008759AF" w:rsidRDefault="008759AF" w:rsidP="00244F74">
      <w:pPr>
        <w:pStyle w:val="ListParagraph"/>
        <w:numPr>
          <w:ilvl w:val="0"/>
          <w:numId w:val="5"/>
        </w:numPr>
        <w:rPr>
          <w:rFonts w:cs="Arial"/>
        </w:rPr>
      </w:pPr>
      <w:r w:rsidRPr="00A20CFB">
        <w:rPr>
          <w:rFonts w:cs="Arial"/>
        </w:rPr>
        <w:t>Social media</w:t>
      </w:r>
    </w:p>
    <w:p w14:paraId="5E03FD33" w14:textId="2AA9B00D" w:rsidR="00E53380" w:rsidRPr="00A20CFB" w:rsidRDefault="00E53380" w:rsidP="00244F74">
      <w:pPr>
        <w:pStyle w:val="ListParagraph"/>
        <w:numPr>
          <w:ilvl w:val="0"/>
          <w:numId w:val="5"/>
        </w:numPr>
        <w:rPr>
          <w:rFonts w:cs="Arial"/>
        </w:rPr>
      </w:pPr>
      <w:r>
        <w:rPr>
          <w:rFonts w:cs="Arial"/>
        </w:rPr>
        <w:t>Council’s website</w:t>
      </w:r>
    </w:p>
    <w:p w14:paraId="66781FF4" w14:textId="77777777" w:rsidR="00AB3DC0" w:rsidRPr="007435D0" w:rsidRDefault="008759AF" w:rsidP="00AC2FE6">
      <w:pPr>
        <w:pStyle w:val="Heading1"/>
        <w:rPr>
          <w:sz w:val="32"/>
        </w:rPr>
      </w:pPr>
      <w:r w:rsidRPr="007435D0">
        <w:rPr>
          <w:sz w:val="32"/>
        </w:rPr>
        <w:t>E</w:t>
      </w:r>
      <w:r w:rsidR="00AB3DC0" w:rsidRPr="007435D0">
        <w:rPr>
          <w:sz w:val="32"/>
        </w:rPr>
        <w:t>ngagement outcomes</w:t>
      </w:r>
    </w:p>
    <w:p w14:paraId="3F4CB1D0" w14:textId="77777777" w:rsidR="00945ED5" w:rsidRDefault="00945ED5" w:rsidP="00945ED5">
      <w:pPr>
        <w:pStyle w:val="NoSpacing"/>
        <w:rPr>
          <w:rStyle w:val="Heading3Char"/>
          <w:rFonts w:cs="Arial"/>
        </w:rPr>
      </w:pPr>
    </w:p>
    <w:p w14:paraId="4F2A996A" w14:textId="1E884B83" w:rsidR="00945ED5" w:rsidRDefault="00AB3DC0" w:rsidP="00945ED5">
      <w:pPr>
        <w:pStyle w:val="NoSpacing"/>
      </w:pPr>
      <w:r w:rsidRPr="00A20CFB">
        <w:rPr>
          <w:rStyle w:val="Heading3Char"/>
          <w:rFonts w:cs="Arial"/>
        </w:rPr>
        <w:t>Who did we hear from?</w:t>
      </w:r>
      <w:r w:rsidRPr="00A20CFB">
        <w:t xml:space="preserve"> </w:t>
      </w:r>
    </w:p>
    <w:p w14:paraId="6DC5927D" w14:textId="6779B38B" w:rsidR="00E53380" w:rsidRDefault="00E53380" w:rsidP="00945ED5">
      <w:pPr>
        <w:pStyle w:val="NoSpacing"/>
      </w:pPr>
    </w:p>
    <w:p w14:paraId="42E9C6B8" w14:textId="08222573" w:rsidR="00E53380" w:rsidRDefault="00E53380" w:rsidP="00945ED5">
      <w:pPr>
        <w:pStyle w:val="NoSpacing"/>
      </w:pPr>
      <w:r>
        <w:t xml:space="preserve">During the </w:t>
      </w:r>
      <w:r w:rsidR="00587DDA">
        <w:t xml:space="preserve">engagement period there were 706 visits to the project page. </w:t>
      </w:r>
    </w:p>
    <w:p w14:paraId="73B20598" w14:textId="2F38882F" w:rsidR="00AB25D1" w:rsidRDefault="00AB25D1" w:rsidP="00AB25D1">
      <w:pPr>
        <w:pStyle w:val="NoSpacing"/>
        <w:numPr>
          <w:ilvl w:val="0"/>
          <w:numId w:val="5"/>
        </w:numPr>
      </w:pPr>
      <w:r>
        <w:t xml:space="preserve">598 participants </w:t>
      </w:r>
      <w:r w:rsidR="00587DDA">
        <w:t xml:space="preserve">viewed </w:t>
      </w:r>
      <w:r>
        <w:t xml:space="preserve">at least one </w:t>
      </w:r>
      <w:r w:rsidR="00587DDA">
        <w:t>item on the project page.</w:t>
      </w:r>
    </w:p>
    <w:p w14:paraId="296ECE3A" w14:textId="26CD4DBD" w:rsidR="005A647C" w:rsidRDefault="00945ED5" w:rsidP="00945ED5">
      <w:pPr>
        <w:pStyle w:val="NoSpacing"/>
        <w:numPr>
          <w:ilvl w:val="0"/>
          <w:numId w:val="5"/>
        </w:numPr>
      </w:pPr>
      <w:r>
        <w:t>252 participants downloaded a</w:t>
      </w:r>
      <w:r w:rsidR="00587DDA">
        <w:t xml:space="preserve">t least one </w:t>
      </w:r>
      <w:r>
        <w:t>document</w:t>
      </w:r>
      <w:r w:rsidR="00587DDA">
        <w:t xml:space="preserve"> </w:t>
      </w:r>
    </w:p>
    <w:p w14:paraId="11CD7845" w14:textId="26192424" w:rsidR="004623B1" w:rsidRPr="009C70FE" w:rsidRDefault="00054834" w:rsidP="00055BFD">
      <w:pPr>
        <w:pStyle w:val="NoSpacing"/>
        <w:numPr>
          <w:ilvl w:val="0"/>
          <w:numId w:val="5"/>
        </w:numPr>
        <w:rPr>
          <w:rStyle w:val="Heading3Char"/>
          <w:rFonts w:cs="Arial"/>
        </w:rPr>
      </w:pPr>
      <w:r>
        <w:t>22</w:t>
      </w:r>
      <w:r w:rsidR="00E94786">
        <w:t xml:space="preserve"> participants</w:t>
      </w:r>
      <w:r w:rsidR="00AB25D1">
        <w:t xml:space="preserve"> </w:t>
      </w:r>
      <w:r w:rsidR="00587DDA">
        <w:t>provided feedback</w:t>
      </w:r>
    </w:p>
    <w:p w14:paraId="313724FA" w14:textId="77777777" w:rsidR="009C70FE" w:rsidRDefault="00EB737E" w:rsidP="0012120E">
      <w:pPr>
        <w:spacing w:before="240"/>
        <w:rPr>
          <w:rStyle w:val="Heading1Char"/>
          <w:sz w:val="32"/>
        </w:rPr>
      </w:pPr>
      <w:r w:rsidRPr="00054834">
        <w:rPr>
          <w:rStyle w:val="Heading1Char"/>
          <w:sz w:val="32"/>
        </w:rPr>
        <w:t>What did they say?</w:t>
      </w:r>
    </w:p>
    <w:p w14:paraId="27C653AB" w14:textId="164ED8E9" w:rsidR="00EB737E" w:rsidRPr="00054834" w:rsidRDefault="00C47D48" w:rsidP="0012120E">
      <w:pPr>
        <w:spacing w:before="240"/>
        <w:rPr>
          <w:rFonts w:cs="Arial"/>
        </w:rPr>
      </w:pPr>
      <w:r w:rsidRPr="00054834">
        <w:rPr>
          <w:rFonts w:cs="Arial"/>
        </w:rPr>
        <w:t xml:space="preserve"> </w:t>
      </w:r>
      <w:r w:rsidR="00A20CFB" w:rsidRPr="00054834">
        <w:rPr>
          <w:rFonts w:cs="Arial"/>
        </w:rPr>
        <w:br/>
      </w:r>
      <w:r w:rsidR="009C70FE" w:rsidRPr="00054834">
        <w:rPr>
          <w:rFonts w:cs="Arial"/>
        </w:rPr>
        <w:t xml:space="preserve">We have received </w:t>
      </w:r>
      <w:r w:rsidR="000735D4">
        <w:rPr>
          <w:rFonts w:cs="Arial"/>
        </w:rPr>
        <w:t>20</w:t>
      </w:r>
      <w:r w:rsidR="00587DDA" w:rsidRPr="00054834">
        <w:rPr>
          <w:rFonts w:cs="Arial"/>
        </w:rPr>
        <w:t xml:space="preserve"> submission</w:t>
      </w:r>
      <w:r w:rsidR="009C70FE" w:rsidRPr="00054834">
        <w:rPr>
          <w:rFonts w:cs="Arial"/>
        </w:rPr>
        <w:t>s</w:t>
      </w:r>
      <w:r w:rsidR="00587DDA" w:rsidRPr="00054834">
        <w:rPr>
          <w:rFonts w:cs="Arial"/>
        </w:rPr>
        <w:t xml:space="preserve"> directly through Your Say Inner West. </w:t>
      </w:r>
    </w:p>
    <w:p w14:paraId="7E849F9C" w14:textId="4635ECA1" w:rsidR="00177095" w:rsidRDefault="00473883" w:rsidP="0012120E">
      <w:pPr>
        <w:spacing w:before="240"/>
        <w:rPr>
          <w:rFonts w:cs="Arial"/>
        </w:rPr>
      </w:pPr>
      <w:r w:rsidRPr="0012120E">
        <w:rPr>
          <w:rFonts w:cs="Arial"/>
        </w:rPr>
        <w:lastRenderedPageBreak/>
        <w:t xml:space="preserve">The </w:t>
      </w:r>
      <w:r w:rsidR="00587DDA">
        <w:rPr>
          <w:rFonts w:cs="Arial"/>
        </w:rPr>
        <w:t>comments</w:t>
      </w:r>
      <w:r w:rsidR="00587DDA" w:rsidRPr="0012120E">
        <w:rPr>
          <w:rFonts w:cs="Arial"/>
        </w:rPr>
        <w:t xml:space="preserve"> </w:t>
      </w:r>
      <w:r w:rsidRPr="0012120E">
        <w:rPr>
          <w:rFonts w:cs="Arial"/>
        </w:rPr>
        <w:t>received from the Your Say</w:t>
      </w:r>
      <w:r w:rsidR="00587DDA">
        <w:rPr>
          <w:rFonts w:cs="Arial"/>
        </w:rPr>
        <w:t xml:space="preserve"> Inner West</w:t>
      </w:r>
      <w:r w:rsidR="00D03B1D">
        <w:rPr>
          <w:rFonts w:cs="Arial"/>
        </w:rPr>
        <w:t xml:space="preserve"> </w:t>
      </w:r>
      <w:r w:rsidRPr="0012120E">
        <w:rPr>
          <w:rFonts w:cs="Arial"/>
        </w:rPr>
        <w:t xml:space="preserve">are summarised in the table below. </w:t>
      </w:r>
      <w:r w:rsidR="00587DDA">
        <w:rPr>
          <w:rFonts w:cs="Arial"/>
        </w:rPr>
        <w:t xml:space="preserve">Some comments were beyond the scope of this engagement. </w:t>
      </w:r>
    </w:p>
    <w:tbl>
      <w:tblPr>
        <w:tblW w:w="10060" w:type="dxa"/>
        <w:tblLook w:val="04A0" w:firstRow="1" w:lastRow="0" w:firstColumn="1" w:lastColumn="0" w:noHBand="0" w:noVBand="1"/>
      </w:tblPr>
      <w:tblGrid>
        <w:gridCol w:w="1413"/>
        <w:gridCol w:w="3969"/>
        <w:gridCol w:w="3402"/>
        <w:gridCol w:w="1276"/>
      </w:tblGrid>
      <w:tr w:rsidR="00055BFD" w:rsidRPr="00D1184F" w14:paraId="073C71C2" w14:textId="77777777" w:rsidTr="002C3CE6">
        <w:trPr>
          <w:trHeight w:val="255"/>
          <w:tblHeader/>
        </w:trPr>
        <w:tc>
          <w:tcPr>
            <w:tcW w:w="1413" w:type="dxa"/>
            <w:tcBorders>
              <w:top w:val="single" w:sz="4" w:space="0" w:color="A6A6A6"/>
              <w:left w:val="single" w:sz="4" w:space="0" w:color="A6A6A6"/>
              <w:bottom w:val="single" w:sz="4" w:space="0" w:color="A6A6A6"/>
              <w:right w:val="single" w:sz="4" w:space="0" w:color="A6A6A6"/>
            </w:tcBorders>
            <w:shd w:val="clear" w:color="auto" w:fill="808080" w:themeFill="background1" w:themeFillShade="80"/>
            <w:noWrap/>
            <w:hideMark/>
          </w:tcPr>
          <w:p w14:paraId="60E1E9D6" w14:textId="77777777" w:rsidR="00055BFD" w:rsidRPr="00E2784D" w:rsidRDefault="00055BFD" w:rsidP="002C3CE6">
            <w:pPr>
              <w:spacing w:after="0" w:line="240" w:lineRule="auto"/>
              <w:jc w:val="center"/>
              <w:rPr>
                <w:rFonts w:eastAsia="Times New Roman" w:cs="Arial"/>
                <w:b/>
                <w:bCs/>
                <w:color w:val="FFFFFF"/>
                <w:sz w:val="18"/>
                <w:szCs w:val="18"/>
                <w:lang w:eastAsia="en-AU"/>
              </w:rPr>
            </w:pPr>
            <w:r w:rsidRPr="00E2784D">
              <w:rPr>
                <w:rFonts w:eastAsia="Times New Roman" w:cs="Arial"/>
                <w:b/>
                <w:bCs/>
                <w:color w:val="FFFFFF"/>
                <w:sz w:val="18"/>
                <w:szCs w:val="18"/>
                <w:lang w:eastAsia="en-AU"/>
              </w:rPr>
              <w:t>Response to</w:t>
            </w:r>
          </w:p>
        </w:tc>
        <w:tc>
          <w:tcPr>
            <w:tcW w:w="3969" w:type="dxa"/>
            <w:tcBorders>
              <w:top w:val="single" w:sz="4" w:space="0" w:color="A6A6A6"/>
              <w:left w:val="nil"/>
              <w:bottom w:val="single" w:sz="4" w:space="0" w:color="A6A6A6"/>
              <w:right w:val="single" w:sz="4" w:space="0" w:color="A6A6A6"/>
            </w:tcBorders>
            <w:shd w:val="clear" w:color="auto" w:fill="808080" w:themeFill="background1" w:themeFillShade="80"/>
            <w:noWrap/>
            <w:hideMark/>
          </w:tcPr>
          <w:p w14:paraId="55D4B24C" w14:textId="77777777" w:rsidR="00055BFD" w:rsidRPr="00E2784D" w:rsidRDefault="00055BFD" w:rsidP="002C3CE6">
            <w:pPr>
              <w:spacing w:after="0" w:line="240" w:lineRule="auto"/>
              <w:jc w:val="center"/>
              <w:rPr>
                <w:rFonts w:eastAsia="Times New Roman" w:cs="Arial"/>
                <w:b/>
                <w:bCs/>
                <w:color w:val="FFFFFF"/>
                <w:sz w:val="18"/>
                <w:szCs w:val="18"/>
                <w:lang w:eastAsia="en-AU"/>
              </w:rPr>
            </w:pPr>
            <w:r w:rsidRPr="00E2784D">
              <w:rPr>
                <w:rFonts w:eastAsia="Times New Roman" w:cs="Arial"/>
                <w:b/>
                <w:bCs/>
                <w:color w:val="FFFFFF"/>
                <w:sz w:val="18"/>
                <w:szCs w:val="18"/>
                <w:lang w:eastAsia="en-AU"/>
              </w:rPr>
              <w:t>Comment</w:t>
            </w:r>
          </w:p>
        </w:tc>
        <w:tc>
          <w:tcPr>
            <w:tcW w:w="3402" w:type="dxa"/>
            <w:tcBorders>
              <w:top w:val="single" w:sz="4" w:space="0" w:color="A6A6A6"/>
              <w:left w:val="nil"/>
              <w:bottom w:val="single" w:sz="4" w:space="0" w:color="A6A6A6"/>
              <w:right w:val="single" w:sz="4" w:space="0" w:color="A6A6A6"/>
            </w:tcBorders>
            <w:shd w:val="clear" w:color="auto" w:fill="808080" w:themeFill="background1" w:themeFillShade="80"/>
            <w:noWrap/>
            <w:hideMark/>
          </w:tcPr>
          <w:p w14:paraId="5BC8FB9A" w14:textId="77777777" w:rsidR="00055BFD" w:rsidRPr="00E2784D" w:rsidRDefault="00055BFD" w:rsidP="002C3CE6">
            <w:pPr>
              <w:spacing w:after="0" w:line="240" w:lineRule="auto"/>
              <w:jc w:val="center"/>
              <w:rPr>
                <w:rFonts w:eastAsia="Times New Roman" w:cs="Arial"/>
                <w:b/>
                <w:bCs/>
                <w:color w:val="FFFFFF"/>
                <w:sz w:val="18"/>
                <w:szCs w:val="18"/>
                <w:lang w:eastAsia="en-AU"/>
              </w:rPr>
            </w:pPr>
            <w:r w:rsidRPr="00E2784D">
              <w:rPr>
                <w:rFonts w:eastAsia="Times New Roman" w:cs="Arial"/>
                <w:b/>
                <w:bCs/>
                <w:color w:val="FFFFFF"/>
                <w:sz w:val="18"/>
                <w:szCs w:val="18"/>
                <w:lang w:eastAsia="en-AU"/>
              </w:rPr>
              <w:t>Response</w:t>
            </w:r>
          </w:p>
        </w:tc>
        <w:tc>
          <w:tcPr>
            <w:tcW w:w="1276" w:type="dxa"/>
            <w:tcBorders>
              <w:top w:val="single" w:sz="4" w:space="0" w:color="A6A6A6"/>
              <w:left w:val="nil"/>
              <w:bottom w:val="single" w:sz="4" w:space="0" w:color="A6A6A6"/>
              <w:right w:val="single" w:sz="4" w:space="0" w:color="A6A6A6"/>
            </w:tcBorders>
            <w:shd w:val="clear" w:color="auto" w:fill="808080" w:themeFill="background1" w:themeFillShade="80"/>
          </w:tcPr>
          <w:p w14:paraId="486935A9" w14:textId="77777777" w:rsidR="00055BFD" w:rsidRPr="00CD71E6" w:rsidRDefault="00055BFD" w:rsidP="002C3CE6">
            <w:pPr>
              <w:spacing w:after="0" w:line="240" w:lineRule="auto"/>
              <w:jc w:val="center"/>
              <w:rPr>
                <w:rFonts w:eastAsia="Times New Roman" w:cs="Arial"/>
                <w:b/>
                <w:bCs/>
                <w:sz w:val="18"/>
                <w:szCs w:val="18"/>
                <w:lang w:eastAsia="en-AU"/>
              </w:rPr>
            </w:pPr>
            <w:r w:rsidRPr="00CD71E6">
              <w:rPr>
                <w:rFonts w:eastAsia="Times New Roman" w:cs="Arial"/>
                <w:b/>
                <w:bCs/>
                <w:color w:val="FFFFFF" w:themeColor="background1"/>
                <w:sz w:val="18"/>
                <w:szCs w:val="18"/>
                <w:lang w:eastAsia="en-AU"/>
              </w:rPr>
              <w:t>Amendment required?</w:t>
            </w:r>
          </w:p>
        </w:tc>
      </w:tr>
      <w:tr w:rsidR="00055BFD" w:rsidRPr="00D1184F" w14:paraId="64D05B4D" w14:textId="77777777" w:rsidTr="002C3CE6">
        <w:trPr>
          <w:trHeight w:val="510"/>
        </w:trPr>
        <w:tc>
          <w:tcPr>
            <w:tcW w:w="1413" w:type="dxa"/>
            <w:tcBorders>
              <w:top w:val="nil"/>
              <w:left w:val="single" w:sz="4" w:space="0" w:color="A6A6A6"/>
              <w:bottom w:val="single" w:sz="4" w:space="0" w:color="A6A6A6"/>
              <w:right w:val="single" w:sz="4" w:space="0" w:color="A6A6A6"/>
            </w:tcBorders>
            <w:shd w:val="clear" w:color="auto" w:fill="auto"/>
            <w:hideMark/>
          </w:tcPr>
          <w:p w14:paraId="34E4DF64" w14:textId="77777777" w:rsidR="00055BFD" w:rsidRPr="00E2784D" w:rsidRDefault="00055BFD" w:rsidP="002C3CE6">
            <w:pPr>
              <w:spacing w:after="0" w:line="240" w:lineRule="auto"/>
              <w:rPr>
                <w:rFonts w:eastAsia="Times New Roman" w:cs="Arial"/>
                <w:sz w:val="18"/>
                <w:szCs w:val="18"/>
                <w:lang w:eastAsia="en-AU"/>
              </w:rPr>
            </w:pPr>
            <w:r w:rsidRPr="00E2784D">
              <w:rPr>
                <w:rFonts w:eastAsia="Times New Roman" w:cs="Arial"/>
                <w:sz w:val="18"/>
                <w:szCs w:val="18"/>
                <w:lang w:eastAsia="en-AU"/>
              </w:rPr>
              <w:t xml:space="preserve">Fees </w:t>
            </w:r>
            <w:r>
              <w:rPr>
                <w:rFonts w:eastAsia="Times New Roman" w:cs="Arial"/>
                <w:sz w:val="18"/>
                <w:szCs w:val="18"/>
                <w:lang w:eastAsia="en-AU"/>
              </w:rPr>
              <w:t xml:space="preserve">&amp; </w:t>
            </w:r>
            <w:r w:rsidRPr="00E2784D">
              <w:rPr>
                <w:rFonts w:eastAsia="Times New Roman" w:cs="Arial"/>
                <w:sz w:val="18"/>
                <w:szCs w:val="18"/>
                <w:lang w:eastAsia="en-AU"/>
              </w:rPr>
              <w:t xml:space="preserve">Charges </w:t>
            </w:r>
          </w:p>
        </w:tc>
        <w:tc>
          <w:tcPr>
            <w:tcW w:w="3969" w:type="dxa"/>
            <w:tcBorders>
              <w:top w:val="nil"/>
              <w:left w:val="nil"/>
              <w:bottom w:val="single" w:sz="4" w:space="0" w:color="A6A6A6"/>
              <w:right w:val="single" w:sz="4" w:space="0" w:color="A6A6A6"/>
            </w:tcBorders>
            <w:shd w:val="clear" w:color="auto" w:fill="auto"/>
            <w:hideMark/>
          </w:tcPr>
          <w:p w14:paraId="4B5AD6D8" w14:textId="77777777" w:rsidR="00055BFD" w:rsidRPr="00E2784D" w:rsidRDefault="00055BFD" w:rsidP="002C3CE6">
            <w:pPr>
              <w:spacing w:after="0" w:line="240" w:lineRule="auto"/>
              <w:rPr>
                <w:rFonts w:eastAsia="Times New Roman" w:cs="Arial"/>
                <w:sz w:val="18"/>
                <w:szCs w:val="18"/>
                <w:lang w:eastAsia="en-AU"/>
              </w:rPr>
            </w:pPr>
            <w:r w:rsidRPr="00E2784D">
              <w:rPr>
                <w:rFonts w:eastAsia="Times New Roman" w:cs="Arial"/>
                <w:sz w:val="18"/>
                <w:szCs w:val="18"/>
                <w:lang w:eastAsia="en-AU"/>
              </w:rPr>
              <w:t>The cost of submitting an application to prune or remove a tree is inhibitive to the community actually following the correct protocols.</w:t>
            </w:r>
          </w:p>
        </w:tc>
        <w:tc>
          <w:tcPr>
            <w:tcW w:w="3402" w:type="dxa"/>
            <w:tcBorders>
              <w:top w:val="nil"/>
              <w:left w:val="nil"/>
              <w:bottom w:val="single" w:sz="4" w:space="0" w:color="A6A6A6"/>
              <w:right w:val="single" w:sz="4" w:space="0" w:color="A6A6A6"/>
            </w:tcBorders>
            <w:shd w:val="clear" w:color="auto" w:fill="auto"/>
            <w:hideMark/>
          </w:tcPr>
          <w:p w14:paraId="76F0FC4D" w14:textId="77777777" w:rsidR="00055BFD" w:rsidRPr="00E2784D" w:rsidRDefault="00055BFD" w:rsidP="002C3CE6">
            <w:pPr>
              <w:spacing w:after="0" w:line="240" w:lineRule="auto"/>
              <w:rPr>
                <w:rFonts w:eastAsia="Times New Roman" w:cs="Arial"/>
                <w:b/>
                <w:bCs/>
                <w:color w:val="FF0000"/>
                <w:sz w:val="18"/>
                <w:szCs w:val="18"/>
                <w:lang w:eastAsia="en-AU"/>
              </w:rPr>
            </w:pPr>
            <w:r w:rsidRPr="00CD71E6">
              <w:rPr>
                <w:rFonts w:eastAsia="Times New Roman" w:cs="Arial"/>
                <w:sz w:val="18"/>
                <w:szCs w:val="18"/>
                <w:lang w:eastAsia="en-AU"/>
              </w:rPr>
              <w:t>In February 2020, Council adopted a new Tree Management Development Control Plan (DCP) to establish a coordinated approach to the assessment and management of trees in the Local Government Area which ensures that the cost burden of meeting tree canopy targets does not fall unreasonably on property owners. The fee for a tree application is based on 1-3 trees but often does not account for full cost recovery of the time required for Council’s qualified arborist to inspect the tree and provide a determination. Additionally, the new Tree Management DCP has increased the number of applications that can now be lodged under a Minor Works Application, which is free to lodge.</w:t>
            </w:r>
          </w:p>
        </w:tc>
        <w:tc>
          <w:tcPr>
            <w:tcW w:w="1276" w:type="dxa"/>
            <w:tcBorders>
              <w:top w:val="nil"/>
              <w:left w:val="nil"/>
              <w:bottom w:val="single" w:sz="4" w:space="0" w:color="A6A6A6"/>
              <w:right w:val="single" w:sz="4" w:space="0" w:color="A6A6A6"/>
            </w:tcBorders>
            <w:shd w:val="clear" w:color="auto" w:fill="auto"/>
          </w:tcPr>
          <w:p w14:paraId="160BFC07" w14:textId="77777777" w:rsidR="00055BFD" w:rsidRPr="00CD71E6" w:rsidRDefault="00055BFD" w:rsidP="002C3CE6">
            <w:pPr>
              <w:spacing w:after="0" w:line="240" w:lineRule="auto"/>
              <w:rPr>
                <w:rFonts w:eastAsia="Times New Roman" w:cs="Arial"/>
                <w:sz w:val="18"/>
                <w:szCs w:val="18"/>
                <w:lang w:eastAsia="en-AU"/>
              </w:rPr>
            </w:pPr>
            <w:r w:rsidRPr="00CD71E6">
              <w:rPr>
                <w:rFonts w:eastAsia="Times New Roman" w:cs="Arial"/>
                <w:sz w:val="18"/>
                <w:szCs w:val="18"/>
                <w:lang w:eastAsia="en-AU"/>
              </w:rPr>
              <w:t>No</w:t>
            </w:r>
          </w:p>
        </w:tc>
      </w:tr>
      <w:tr w:rsidR="00055BFD" w:rsidRPr="00D1184F" w14:paraId="4BE9528C" w14:textId="77777777" w:rsidTr="002C3CE6">
        <w:trPr>
          <w:trHeight w:val="765"/>
        </w:trPr>
        <w:tc>
          <w:tcPr>
            <w:tcW w:w="1413" w:type="dxa"/>
            <w:tcBorders>
              <w:top w:val="nil"/>
              <w:left w:val="single" w:sz="4" w:space="0" w:color="A6A6A6"/>
              <w:bottom w:val="single" w:sz="4" w:space="0" w:color="A6A6A6"/>
              <w:right w:val="single" w:sz="4" w:space="0" w:color="A6A6A6"/>
            </w:tcBorders>
            <w:shd w:val="clear" w:color="auto" w:fill="auto"/>
            <w:hideMark/>
          </w:tcPr>
          <w:p w14:paraId="284B931C" w14:textId="77777777" w:rsidR="00055BFD" w:rsidRPr="00E2784D" w:rsidRDefault="00055BFD" w:rsidP="002C3CE6">
            <w:pPr>
              <w:spacing w:after="0" w:line="240" w:lineRule="auto"/>
              <w:rPr>
                <w:rFonts w:eastAsia="Times New Roman" w:cs="Arial"/>
                <w:sz w:val="18"/>
                <w:szCs w:val="18"/>
                <w:lang w:eastAsia="en-AU"/>
              </w:rPr>
            </w:pPr>
            <w:r>
              <w:rPr>
                <w:rFonts w:eastAsia="Times New Roman" w:cs="Arial"/>
                <w:sz w:val="18"/>
                <w:szCs w:val="18"/>
                <w:lang w:eastAsia="en-AU"/>
              </w:rPr>
              <w:t>DPOP</w:t>
            </w:r>
          </w:p>
        </w:tc>
        <w:tc>
          <w:tcPr>
            <w:tcW w:w="3969" w:type="dxa"/>
            <w:tcBorders>
              <w:top w:val="nil"/>
              <w:left w:val="nil"/>
              <w:bottom w:val="single" w:sz="4" w:space="0" w:color="A6A6A6"/>
              <w:right w:val="single" w:sz="4" w:space="0" w:color="A6A6A6"/>
            </w:tcBorders>
            <w:shd w:val="clear" w:color="auto" w:fill="auto"/>
            <w:hideMark/>
          </w:tcPr>
          <w:p w14:paraId="76574F7E" w14:textId="77777777" w:rsidR="00055BFD" w:rsidRPr="00E2784D" w:rsidRDefault="00055BFD" w:rsidP="002C3CE6">
            <w:pPr>
              <w:spacing w:after="0" w:line="240" w:lineRule="auto"/>
              <w:rPr>
                <w:rFonts w:eastAsia="Times New Roman" w:cs="Arial"/>
                <w:sz w:val="18"/>
                <w:szCs w:val="18"/>
                <w:lang w:eastAsia="en-AU"/>
              </w:rPr>
            </w:pPr>
            <w:r w:rsidRPr="00E2784D">
              <w:rPr>
                <w:rFonts w:eastAsia="Times New Roman" w:cs="Arial"/>
                <w:sz w:val="18"/>
                <w:szCs w:val="18"/>
                <w:lang w:eastAsia="en-AU"/>
              </w:rPr>
              <w:t>Cycleways are underfunded despite being a healthy and sustainable transport method.</w:t>
            </w:r>
          </w:p>
        </w:tc>
        <w:tc>
          <w:tcPr>
            <w:tcW w:w="3402" w:type="dxa"/>
            <w:tcBorders>
              <w:top w:val="nil"/>
              <w:left w:val="nil"/>
              <w:bottom w:val="single" w:sz="4" w:space="0" w:color="A6A6A6"/>
              <w:right w:val="single" w:sz="4" w:space="0" w:color="A6A6A6"/>
            </w:tcBorders>
            <w:shd w:val="clear" w:color="auto" w:fill="auto"/>
            <w:hideMark/>
          </w:tcPr>
          <w:p w14:paraId="0E918911" w14:textId="77777777" w:rsidR="00055BFD" w:rsidRPr="00E2784D" w:rsidRDefault="00055BFD" w:rsidP="002C3CE6">
            <w:pPr>
              <w:spacing w:after="0" w:line="240" w:lineRule="auto"/>
              <w:rPr>
                <w:rFonts w:eastAsia="Times New Roman" w:cs="Arial"/>
                <w:sz w:val="18"/>
                <w:szCs w:val="18"/>
                <w:lang w:eastAsia="en-AU"/>
              </w:rPr>
            </w:pPr>
            <w:r w:rsidRPr="00E2784D">
              <w:rPr>
                <w:rFonts w:eastAsia="Times New Roman" w:cs="Arial"/>
                <w:sz w:val="18"/>
                <w:szCs w:val="18"/>
                <w:lang w:eastAsia="en-AU"/>
              </w:rPr>
              <w:t>There is $6m in the 2020/2021 budget for cycleway projects.  This is substantially more than previous financial years.</w:t>
            </w:r>
          </w:p>
        </w:tc>
        <w:tc>
          <w:tcPr>
            <w:tcW w:w="1276" w:type="dxa"/>
            <w:tcBorders>
              <w:top w:val="nil"/>
              <w:left w:val="nil"/>
              <w:bottom w:val="single" w:sz="4" w:space="0" w:color="A6A6A6"/>
              <w:right w:val="single" w:sz="4" w:space="0" w:color="A6A6A6"/>
            </w:tcBorders>
            <w:shd w:val="clear" w:color="auto" w:fill="auto"/>
          </w:tcPr>
          <w:p w14:paraId="0044010F" w14:textId="77777777" w:rsidR="00055BFD" w:rsidRPr="00CD71E6" w:rsidRDefault="00055BFD" w:rsidP="002C3CE6">
            <w:pPr>
              <w:spacing w:after="0" w:line="240" w:lineRule="auto"/>
              <w:rPr>
                <w:rFonts w:eastAsia="Times New Roman" w:cs="Arial"/>
                <w:sz w:val="18"/>
                <w:szCs w:val="18"/>
                <w:lang w:eastAsia="en-AU"/>
              </w:rPr>
            </w:pPr>
            <w:r>
              <w:rPr>
                <w:rFonts w:eastAsia="Times New Roman" w:cs="Arial"/>
                <w:sz w:val="18"/>
                <w:szCs w:val="18"/>
                <w:lang w:eastAsia="en-AU"/>
              </w:rPr>
              <w:t>No</w:t>
            </w:r>
          </w:p>
        </w:tc>
      </w:tr>
      <w:tr w:rsidR="00055BFD" w:rsidRPr="00D1184F" w14:paraId="5A5A4C12" w14:textId="77777777" w:rsidTr="002C3CE6">
        <w:trPr>
          <w:trHeight w:val="780"/>
        </w:trPr>
        <w:tc>
          <w:tcPr>
            <w:tcW w:w="1413" w:type="dxa"/>
            <w:tcBorders>
              <w:top w:val="nil"/>
              <w:left w:val="single" w:sz="4" w:space="0" w:color="A6A6A6"/>
              <w:bottom w:val="nil"/>
              <w:right w:val="single" w:sz="4" w:space="0" w:color="A6A6A6"/>
            </w:tcBorders>
            <w:shd w:val="clear" w:color="auto" w:fill="auto"/>
            <w:hideMark/>
          </w:tcPr>
          <w:p w14:paraId="5110A43E" w14:textId="77777777" w:rsidR="00055BFD" w:rsidRPr="00E2784D" w:rsidRDefault="00055BFD" w:rsidP="002C3CE6">
            <w:pPr>
              <w:spacing w:after="0" w:line="240" w:lineRule="auto"/>
              <w:rPr>
                <w:rFonts w:eastAsia="Times New Roman" w:cs="Arial"/>
                <w:sz w:val="18"/>
                <w:szCs w:val="18"/>
                <w:lang w:eastAsia="en-AU"/>
              </w:rPr>
            </w:pPr>
            <w:r>
              <w:rPr>
                <w:rFonts w:eastAsia="Times New Roman" w:cs="Arial"/>
                <w:sz w:val="18"/>
                <w:szCs w:val="18"/>
                <w:lang w:eastAsia="en-AU"/>
              </w:rPr>
              <w:t>LTFP</w:t>
            </w:r>
          </w:p>
        </w:tc>
        <w:tc>
          <w:tcPr>
            <w:tcW w:w="3969" w:type="dxa"/>
            <w:tcBorders>
              <w:top w:val="nil"/>
              <w:left w:val="nil"/>
              <w:bottom w:val="nil"/>
              <w:right w:val="single" w:sz="4" w:space="0" w:color="A6A6A6"/>
            </w:tcBorders>
            <w:shd w:val="clear" w:color="auto" w:fill="auto"/>
            <w:hideMark/>
          </w:tcPr>
          <w:p w14:paraId="0679CF85" w14:textId="77777777" w:rsidR="00055BFD" w:rsidRPr="00E2784D" w:rsidRDefault="00055BFD" w:rsidP="002C3CE6">
            <w:pPr>
              <w:spacing w:after="0" w:line="240" w:lineRule="auto"/>
              <w:rPr>
                <w:rFonts w:eastAsia="Times New Roman" w:cs="Arial"/>
                <w:sz w:val="18"/>
                <w:szCs w:val="18"/>
                <w:lang w:eastAsia="en-AU"/>
              </w:rPr>
            </w:pPr>
            <w:r w:rsidRPr="00E2784D">
              <w:rPr>
                <w:rFonts w:eastAsia="Times New Roman" w:cs="Arial"/>
                <w:sz w:val="18"/>
                <w:szCs w:val="18"/>
                <w:lang w:eastAsia="en-AU"/>
              </w:rPr>
              <w:t xml:space="preserve">The budget for cycleways should increase not decrease especially when neighbouring Councils are following Austroads best practice of introducing 30km/hr zones (AP -R612-20) and investing in additional protected cycling lanes and paths. </w:t>
            </w:r>
          </w:p>
        </w:tc>
        <w:tc>
          <w:tcPr>
            <w:tcW w:w="3402" w:type="dxa"/>
            <w:tcBorders>
              <w:top w:val="nil"/>
              <w:left w:val="nil"/>
              <w:bottom w:val="nil"/>
              <w:right w:val="single" w:sz="4" w:space="0" w:color="A6A6A6"/>
            </w:tcBorders>
            <w:shd w:val="clear" w:color="auto" w:fill="auto"/>
            <w:hideMark/>
          </w:tcPr>
          <w:p w14:paraId="0A1AD180" w14:textId="77777777" w:rsidR="00055BFD" w:rsidRPr="00E2784D" w:rsidRDefault="00055BFD" w:rsidP="002C3CE6">
            <w:pPr>
              <w:spacing w:after="0" w:line="240" w:lineRule="auto"/>
              <w:rPr>
                <w:rFonts w:eastAsia="Times New Roman" w:cs="Arial"/>
                <w:sz w:val="18"/>
                <w:szCs w:val="18"/>
                <w:lang w:eastAsia="en-AU"/>
              </w:rPr>
            </w:pPr>
            <w:r w:rsidRPr="00E2784D">
              <w:rPr>
                <w:rFonts w:eastAsia="Times New Roman" w:cs="Arial"/>
                <w:sz w:val="18"/>
                <w:szCs w:val="18"/>
                <w:lang w:eastAsia="en-AU"/>
              </w:rPr>
              <w:t>There is $6m in the 2020/2021 budget for cycleway projects.  This is substantially more than previous financial years.</w:t>
            </w:r>
          </w:p>
        </w:tc>
        <w:tc>
          <w:tcPr>
            <w:tcW w:w="1276" w:type="dxa"/>
            <w:tcBorders>
              <w:top w:val="nil"/>
              <w:left w:val="nil"/>
              <w:bottom w:val="nil"/>
              <w:right w:val="single" w:sz="4" w:space="0" w:color="A6A6A6"/>
            </w:tcBorders>
            <w:shd w:val="clear" w:color="auto" w:fill="auto"/>
          </w:tcPr>
          <w:p w14:paraId="41E3C71C" w14:textId="77777777" w:rsidR="00055BFD" w:rsidRPr="00CD71E6" w:rsidRDefault="00055BFD" w:rsidP="002C3CE6">
            <w:pPr>
              <w:spacing w:after="0" w:line="240" w:lineRule="auto"/>
              <w:rPr>
                <w:rFonts w:eastAsia="Times New Roman" w:cs="Arial"/>
                <w:sz w:val="18"/>
                <w:szCs w:val="18"/>
                <w:lang w:eastAsia="en-AU"/>
              </w:rPr>
            </w:pPr>
            <w:r>
              <w:rPr>
                <w:rFonts w:eastAsia="Times New Roman" w:cs="Arial"/>
                <w:sz w:val="18"/>
                <w:szCs w:val="18"/>
                <w:lang w:eastAsia="en-AU"/>
              </w:rPr>
              <w:t>No</w:t>
            </w:r>
          </w:p>
        </w:tc>
      </w:tr>
      <w:tr w:rsidR="00055BFD" w:rsidRPr="00D1184F" w14:paraId="779C8E70" w14:textId="77777777" w:rsidTr="002C3CE6">
        <w:trPr>
          <w:trHeight w:val="1530"/>
        </w:trPr>
        <w:tc>
          <w:tcPr>
            <w:tcW w:w="1413" w:type="dxa"/>
            <w:vMerge w:val="restart"/>
            <w:tcBorders>
              <w:top w:val="single" w:sz="8" w:space="0" w:color="auto"/>
              <w:left w:val="single" w:sz="8" w:space="0" w:color="auto"/>
              <w:bottom w:val="single" w:sz="4" w:space="0" w:color="A6A6A6"/>
              <w:right w:val="single" w:sz="4" w:space="0" w:color="A6A6A6"/>
            </w:tcBorders>
            <w:shd w:val="clear" w:color="auto" w:fill="auto"/>
            <w:hideMark/>
          </w:tcPr>
          <w:p w14:paraId="552532A4" w14:textId="77777777" w:rsidR="00055BFD" w:rsidRPr="00E2784D" w:rsidRDefault="00055BFD" w:rsidP="002C3CE6">
            <w:pPr>
              <w:spacing w:after="0" w:line="240" w:lineRule="auto"/>
              <w:rPr>
                <w:rFonts w:eastAsia="Times New Roman" w:cs="Arial"/>
                <w:sz w:val="18"/>
                <w:szCs w:val="18"/>
                <w:lang w:eastAsia="en-AU"/>
              </w:rPr>
            </w:pPr>
            <w:r>
              <w:rPr>
                <w:rFonts w:eastAsia="Times New Roman" w:cs="Arial"/>
                <w:sz w:val="18"/>
                <w:szCs w:val="18"/>
                <w:lang w:eastAsia="en-AU"/>
              </w:rPr>
              <w:t>DPOP</w:t>
            </w:r>
          </w:p>
        </w:tc>
        <w:tc>
          <w:tcPr>
            <w:tcW w:w="3969" w:type="dxa"/>
            <w:tcBorders>
              <w:top w:val="single" w:sz="8" w:space="0" w:color="auto"/>
              <w:left w:val="nil"/>
              <w:bottom w:val="single" w:sz="4" w:space="0" w:color="A6A6A6"/>
              <w:right w:val="single" w:sz="4" w:space="0" w:color="A6A6A6"/>
            </w:tcBorders>
            <w:shd w:val="clear" w:color="auto" w:fill="auto"/>
            <w:hideMark/>
          </w:tcPr>
          <w:p w14:paraId="0F14B132" w14:textId="77777777" w:rsidR="00055BFD" w:rsidRPr="00E2784D" w:rsidRDefault="00055BFD" w:rsidP="002C3CE6">
            <w:pPr>
              <w:spacing w:after="0" w:line="240" w:lineRule="auto"/>
              <w:rPr>
                <w:rFonts w:eastAsia="Times New Roman" w:cs="Arial"/>
                <w:sz w:val="18"/>
                <w:szCs w:val="18"/>
                <w:lang w:eastAsia="en-AU"/>
              </w:rPr>
            </w:pPr>
            <w:r w:rsidRPr="00E2784D">
              <w:rPr>
                <w:rFonts w:eastAsia="Times New Roman" w:cs="Arial"/>
                <w:sz w:val="18"/>
                <w:szCs w:val="18"/>
                <w:lang w:eastAsia="en-AU"/>
              </w:rPr>
              <w:t>Lack of focus on strategic heritage investigations in areas in Inner West Council. In the former Mar</w:t>
            </w:r>
            <w:r>
              <w:rPr>
                <w:rFonts w:eastAsia="Times New Roman" w:cs="Arial"/>
                <w:sz w:val="18"/>
                <w:szCs w:val="18"/>
                <w:lang w:eastAsia="en-AU"/>
              </w:rPr>
              <w:t>r</w:t>
            </w:r>
            <w:r w:rsidRPr="00E2784D">
              <w:rPr>
                <w:rFonts w:eastAsia="Times New Roman" w:cs="Arial"/>
                <w:sz w:val="18"/>
                <w:szCs w:val="18"/>
                <w:lang w:eastAsia="en-AU"/>
              </w:rPr>
              <w:t>ickville LGA the investigations focussed on areas south of the railway meaning some places have not had adequate heritage inspections in 15-20 years and therefore there is a low density of heritage conservation areas as compared to Ashfield and Leichhardt. In Dulwich Hill for example, there are buildings at risk or redevelopment as they do not have protection such as two historic homes at The Boulevarde at Dulwich Hill, which were later heritage listed after being given interim emergency protection.</w:t>
            </w:r>
          </w:p>
        </w:tc>
        <w:tc>
          <w:tcPr>
            <w:tcW w:w="3402" w:type="dxa"/>
            <w:tcBorders>
              <w:top w:val="single" w:sz="8" w:space="0" w:color="auto"/>
              <w:left w:val="nil"/>
              <w:bottom w:val="single" w:sz="4" w:space="0" w:color="A6A6A6"/>
              <w:right w:val="single" w:sz="8" w:space="0" w:color="auto"/>
            </w:tcBorders>
            <w:shd w:val="clear" w:color="auto" w:fill="auto"/>
            <w:hideMark/>
          </w:tcPr>
          <w:p w14:paraId="27DE890E" w14:textId="77777777" w:rsidR="00055BFD" w:rsidRPr="00E2784D" w:rsidRDefault="00055BFD" w:rsidP="002C3CE6">
            <w:pPr>
              <w:spacing w:after="0" w:line="240" w:lineRule="auto"/>
              <w:rPr>
                <w:rFonts w:eastAsia="Times New Roman" w:cs="Arial"/>
                <w:b/>
                <w:bCs/>
                <w:color w:val="FF0000"/>
                <w:sz w:val="18"/>
                <w:szCs w:val="18"/>
                <w:lang w:eastAsia="en-AU"/>
              </w:rPr>
            </w:pPr>
            <w:r w:rsidRPr="00CD71E6">
              <w:rPr>
                <w:rFonts w:eastAsia="Times New Roman" w:cs="Arial"/>
                <w:sz w:val="18"/>
                <w:szCs w:val="18"/>
                <w:lang w:eastAsia="en-AU"/>
              </w:rPr>
              <w:t>Council is in the process of reviewing existing and potential heritage items and heritage conservation areas across the Local Government Area including Dulwich Hill as part of Inner West Local Environmental Plan Phase 2 Project. Community consultation will be undertaken as part of this project. The project is anticipated to be finalised in 2021.</w:t>
            </w:r>
          </w:p>
        </w:tc>
        <w:tc>
          <w:tcPr>
            <w:tcW w:w="1276" w:type="dxa"/>
            <w:tcBorders>
              <w:top w:val="single" w:sz="8" w:space="0" w:color="auto"/>
              <w:left w:val="nil"/>
              <w:bottom w:val="single" w:sz="4" w:space="0" w:color="A6A6A6"/>
              <w:right w:val="single" w:sz="8" w:space="0" w:color="auto"/>
            </w:tcBorders>
            <w:shd w:val="clear" w:color="auto" w:fill="auto"/>
          </w:tcPr>
          <w:p w14:paraId="1F3CB947" w14:textId="77777777" w:rsidR="00055BFD" w:rsidRPr="00CD71E6" w:rsidRDefault="00055BFD" w:rsidP="002C3CE6">
            <w:pPr>
              <w:spacing w:after="0" w:line="240" w:lineRule="auto"/>
              <w:rPr>
                <w:rFonts w:eastAsia="Times New Roman" w:cs="Arial"/>
                <w:sz w:val="18"/>
                <w:szCs w:val="18"/>
                <w:lang w:eastAsia="en-AU"/>
              </w:rPr>
            </w:pPr>
            <w:r w:rsidRPr="00CD71E6">
              <w:rPr>
                <w:rFonts w:eastAsia="Times New Roman" w:cs="Arial"/>
                <w:sz w:val="18"/>
                <w:szCs w:val="18"/>
                <w:lang w:eastAsia="en-AU"/>
              </w:rPr>
              <w:t>No</w:t>
            </w:r>
          </w:p>
        </w:tc>
      </w:tr>
      <w:tr w:rsidR="00055BFD" w:rsidRPr="00D1184F" w14:paraId="23146160" w14:textId="77777777" w:rsidTr="002C3CE6">
        <w:trPr>
          <w:trHeight w:val="1530"/>
        </w:trPr>
        <w:tc>
          <w:tcPr>
            <w:tcW w:w="1413" w:type="dxa"/>
            <w:vMerge/>
            <w:tcBorders>
              <w:top w:val="single" w:sz="8" w:space="0" w:color="auto"/>
              <w:left w:val="single" w:sz="8" w:space="0" w:color="auto"/>
              <w:bottom w:val="single" w:sz="4" w:space="0" w:color="A6A6A6"/>
              <w:right w:val="single" w:sz="4" w:space="0" w:color="A6A6A6"/>
            </w:tcBorders>
            <w:shd w:val="clear" w:color="auto" w:fill="auto"/>
            <w:vAlign w:val="center"/>
            <w:hideMark/>
          </w:tcPr>
          <w:p w14:paraId="4C1160FD" w14:textId="77777777" w:rsidR="00055BFD" w:rsidRPr="00E2784D" w:rsidRDefault="00055BFD" w:rsidP="002C3CE6">
            <w:pPr>
              <w:spacing w:after="0" w:line="240" w:lineRule="auto"/>
              <w:rPr>
                <w:rFonts w:eastAsia="Times New Roman" w:cs="Arial"/>
                <w:sz w:val="18"/>
                <w:szCs w:val="18"/>
                <w:lang w:eastAsia="en-AU"/>
              </w:rPr>
            </w:pPr>
          </w:p>
        </w:tc>
        <w:tc>
          <w:tcPr>
            <w:tcW w:w="3969" w:type="dxa"/>
            <w:tcBorders>
              <w:top w:val="nil"/>
              <w:left w:val="nil"/>
              <w:bottom w:val="single" w:sz="4" w:space="0" w:color="A6A6A6"/>
              <w:right w:val="single" w:sz="4" w:space="0" w:color="A6A6A6"/>
            </w:tcBorders>
            <w:shd w:val="clear" w:color="auto" w:fill="auto"/>
            <w:hideMark/>
          </w:tcPr>
          <w:p w14:paraId="51C29EF4" w14:textId="77777777" w:rsidR="00055BFD" w:rsidRPr="00E2784D" w:rsidRDefault="00055BFD" w:rsidP="002C3CE6">
            <w:pPr>
              <w:spacing w:after="0" w:line="240" w:lineRule="auto"/>
              <w:rPr>
                <w:rFonts w:eastAsia="Times New Roman" w:cs="Arial"/>
                <w:sz w:val="18"/>
                <w:szCs w:val="18"/>
                <w:lang w:eastAsia="en-AU"/>
              </w:rPr>
            </w:pPr>
            <w:r w:rsidRPr="00E2784D">
              <w:rPr>
                <w:rFonts w:eastAsia="Times New Roman" w:cs="Arial"/>
                <w:sz w:val="18"/>
                <w:szCs w:val="18"/>
                <w:lang w:eastAsia="en-AU"/>
              </w:rPr>
              <w:t xml:space="preserve">Lack of funding to upgrade the area around Dulwich Hill station despite a public domain study and a council report from August 2019 stating that the council had set aside $1.6 million of the $7.5 million total cost. No evidence of the project in the forward “planned capital projects” list in the capital budget overview. The area around the station needs updating for aesthetic and safety reasons, the Wardell Road crossing is dangerous. In addition, the Marrickville Rd Dulwich Hill town centre looks rundown and the footpaths need fixing. </w:t>
            </w:r>
          </w:p>
        </w:tc>
        <w:tc>
          <w:tcPr>
            <w:tcW w:w="3402" w:type="dxa"/>
            <w:tcBorders>
              <w:top w:val="nil"/>
              <w:left w:val="nil"/>
              <w:bottom w:val="single" w:sz="4" w:space="0" w:color="A6A6A6"/>
              <w:right w:val="single" w:sz="8" w:space="0" w:color="auto"/>
            </w:tcBorders>
            <w:shd w:val="clear" w:color="auto" w:fill="auto"/>
            <w:hideMark/>
          </w:tcPr>
          <w:p w14:paraId="3258D6B3" w14:textId="77777777" w:rsidR="00055BFD" w:rsidRPr="00E2784D" w:rsidRDefault="00055BFD" w:rsidP="002C3CE6">
            <w:pPr>
              <w:spacing w:after="240" w:line="240" w:lineRule="auto"/>
              <w:rPr>
                <w:rFonts w:eastAsia="Times New Roman" w:cs="Arial"/>
                <w:sz w:val="18"/>
                <w:szCs w:val="18"/>
                <w:lang w:eastAsia="en-AU"/>
              </w:rPr>
            </w:pPr>
            <w:r w:rsidRPr="00E2784D">
              <w:rPr>
                <w:rFonts w:eastAsia="Times New Roman" w:cs="Arial"/>
                <w:sz w:val="18"/>
                <w:szCs w:val="18"/>
                <w:lang w:eastAsia="en-AU"/>
              </w:rPr>
              <w:t>There was $140k in the 2019/2020 budget, $1.47m in the 2020/2021 budget and $130k in the 2021/20222 budget for Dulwich Hill upgrade works near the station.</w:t>
            </w:r>
          </w:p>
        </w:tc>
        <w:tc>
          <w:tcPr>
            <w:tcW w:w="1276" w:type="dxa"/>
            <w:tcBorders>
              <w:top w:val="nil"/>
              <w:left w:val="nil"/>
              <w:bottom w:val="single" w:sz="4" w:space="0" w:color="A6A6A6"/>
              <w:right w:val="single" w:sz="8" w:space="0" w:color="auto"/>
            </w:tcBorders>
            <w:shd w:val="clear" w:color="auto" w:fill="auto"/>
          </w:tcPr>
          <w:p w14:paraId="153165A0" w14:textId="77777777" w:rsidR="00055BFD" w:rsidRPr="00CD71E6" w:rsidRDefault="00055BFD" w:rsidP="002C3CE6">
            <w:pPr>
              <w:spacing w:after="240" w:line="240" w:lineRule="auto"/>
              <w:rPr>
                <w:rFonts w:eastAsia="Times New Roman" w:cs="Arial"/>
                <w:sz w:val="18"/>
                <w:szCs w:val="18"/>
                <w:lang w:eastAsia="en-AU"/>
              </w:rPr>
            </w:pPr>
            <w:r>
              <w:rPr>
                <w:rFonts w:eastAsia="Times New Roman" w:cs="Arial"/>
                <w:sz w:val="18"/>
                <w:szCs w:val="18"/>
                <w:lang w:eastAsia="en-AU"/>
              </w:rPr>
              <w:t>No</w:t>
            </w:r>
          </w:p>
        </w:tc>
      </w:tr>
      <w:tr w:rsidR="00055BFD" w:rsidRPr="00D1184F" w14:paraId="2A272CFC" w14:textId="77777777" w:rsidTr="002C3CE6">
        <w:trPr>
          <w:trHeight w:val="1290"/>
        </w:trPr>
        <w:tc>
          <w:tcPr>
            <w:tcW w:w="1413" w:type="dxa"/>
            <w:tcBorders>
              <w:top w:val="nil"/>
              <w:left w:val="single" w:sz="8" w:space="0" w:color="auto"/>
              <w:bottom w:val="single" w:sz="8" w:space="0" w:color="auto"/>
              <w:right w:val="single" w:sz="4" w:space="0" w:color="A6A6A6"/>
            </w:tcBorders>
            <w:shd w:val="clear" w:color="auto" w:fill="auto"/>
            <w:hideMark/>
          </w:tcPr>
          <w:p w14:paraId="5FE866D5" w14:textId="7635A91D" w:rsidR="00055BFD" w:rsidRPr="00E2784D" w:rsidRDefault="00055BFD" w:rsidP="002C3CE6">
            <w:pPr>
              <w:spacing w:after="0" w:line="240" w:lineRule="auto"/>
              <w:rPr>
                <w:rFonts w:eastAsia="Times New Roman" w:cs="Arial"/>
                <w:sz w:val="18"/>
                <w:szCs w:val="18"/>
                <w:lang w:eastAsia="en-AU"/>
              </w:rPr>
            </w:pPr>
            <w:r>
              <w:rPr>
                <w:rFonts w:eastAsia="Times New Roman" w:cs="Arial"/>
                <w:sz w:val="18"/>
                <w:szCs w:val="18"/>
                <w:lang w:eastAsia="en-AU"/>
              </w:rPr>
              <w:lastRenderedPageBreak/>
              <w:t>L</w:t>
            </w:r>
            <w:r w:rsidR="009C1BA9">
              <w:rPr>
                <w:rFonts w:eastAsia="Times New Roman" w:cs="Arial"/>
                <w:sz w:val="18"/>
                <w:szCs w:val="18"/>
                <w:lang w:eastAsia="en-AU"/>
              </w:rPr>
              <w:t>ong Term Financial Plan (LTFP)</w:t>
            </w:r>
          </w:p>
        </w:tc>
        <w:tc>
          <w:tcPr>
            <w:tcW w:w="3969" w:type="dxa"/>
            <w:tcBorders>
              <w:top w:val="nil"/>
              <w:left w:val="nil"/>
              <w:bottom w:val="single" w:sz="8" w:space="0" w:color="auto"/>
              <w:right w:val="single" w:sz="4" w:space="0" w:color="A6A6A6"/>
            </w:tcBorders>
            <w:shd w:val="clear" w:color="auto" w:fill="auto"/>
            <w:hideMark/>
          </w:tcPr>
          <w:p w14:paraId="71BDD3BD" w14:textId="77777777" w:rsidR="00055BFD" w:rsidRPr="00E2784D" w:rsidRDefault="00055BFD" w:rsidP="002C3CE6">
            <w:pPr>
              <w:spacing w:after="0" w:line="240" w:lineRule="auto"/>
              <w:rPr>
                <w:rFonts w:eastAsia="Times New Roman" w:cs="Arial"/>
                <w:sz w:val="18"/>
                <w:szCs w:val="18"/>
                <w:lang w:eastAsia="en-AU"/>
              </w:rPr>
            </w:pPr>
            <w:r w:rsidRPr="00E2784D">
              <w:rPr>
                <w:rFonts w:eastAsia="Times New Roman" w:cs="Arial"/>
                <w:sz w:val="18"/>
                <w:szCs w:val="18"/>
                <w:lang w:eastAsia="en-AU"/>
              </w:rPr>
              <w:t>Council’s proposed reduction in capital spending from 20/21 ($95.4m) to 23/24 ($47.5m) is of concern and it is recommended that the proposed long-term financial option of a higher rate of asset renewal be considered.</w:t>
            </w:r>
          </w:p>
        </w:tc>
        <w:tc>
          <w:tcPr>
            <w:tcW w:w="3402" w:type="dxa"/>
            <w:tcBorders>
              <w:top w:val="nil"/>
              <w:left w:val="nil"/>
              <w:bottom w:val="single" w:sz="8" w:space="0" w:color="auto"/>
              <w:right w:val="single" w:sz="8" w:space="0" w:color="auto"/>
            </w:tcBorders>
            <w:shd w:val="clear" w:color="auto" w:fill="auto"/>
            <w:hideMark/>
          </w:tcPr>
          <w:p w14:paraId="1A70FC1D" w14:textId="77777777" w:rsidR="00055BFD" w:rsidRPr="00E2784D" w:rsidRDefault="00055BFD" w:rsidP="002C3CE6">
            <w:pPr>
              <w:spacing w:after="0" w:line="240" w:lineRule="auto"/>
              <w:rPr>
                <w:rFonts w:eastAsia="Times New Roman" w:cs="Arial"/>
                <w:sz w:val="18"/>
                <w:szCs w:val="18"/>
                <w:lang w:eastAsia="en-AU"/>
              </w:rPr>
            </w:pPr>
            <w:r w:rsidRPr="00E2784D">
              <w:rPr>
                <w:rFonts w:eastAsia="Times New Roman" w:cs="Arial"/>
                <w:sz w:val="18"/>
                <w:szCs w:val="18"/>
                <w:lang w:eastAsia="en-AU"/>
              </w:rPr>
              <w:t>The 2020/2021 capital works budget is artificially high as a number of large projects are underway including the Ashfield Aquatic Centre, Dawn Fraser Baths, Greenway and Urban Amenity Improvement Program.  The last two projects have substantial grant funding.  The total capital budget reduces from 2021/2022 to better reflects Council's "normal" capital works program, considering capacity to resource and deliver.</w:t>
            </w:r>
          </w:p>
        </w:tc>
        <w:tc>
          <w:tcPr>
            <w:tcW w:w="1276" w:type="dxa"/>
            <w:tcBorders>
              <w:top w:val="nil"/>
              <w:left w:val="nil"/>
              <w:bottom w:val="single" w:sz="8" w:space="0" w:color="auto"/>
              <w:right w:val="single" w:sz="8" w:space="0" w:color="auto"/>
            </w:tcBorders>
            <w:shd w:val="clear" w:color="auto" w:fill="auto"/>
          </w:tcPr>
          <w:p w14:paraId="7B84A126" w14:textId="77777777" w:rsidR="00055BFD" w:rsidRPr="00CD71E6" w:rsidRDefault="00055BFD" w:rsidP="002C3CE6">
            <w:pPr>
              <w:spacing w:after="0" w:line="240" w:lineRule="auto"/>
              <w:rPr>
                <w:rFonts w:eastAsia="Times New Roman" w:cs="Arial"/>
                <w:sz w:val="18"/>
                <w:szCs w:val="18"/>
                <w:lang w:eastAsia="en-AU"/>
              </w:rPr>
            </w:pPr>
            <w:r>
              <w:rPr>
                <w:rFonts w:eastAsia="Times New Roman" w:cs="Arial"/>
                <w:sz w:val="18"/>
                <w:szCs w:val="18"/>
                <w:lang w:eastAsia="en-AU"/>
              </w:rPr>
              <w:t>No</w:t>
            </w:r>
          </w:p>
        </w:tc>
      </w:tr>
      <w:tr w:rsidR="00055BFD" w:rsidRPr="00D1184F" w14:paraId="7CBAE361" w14:textId="77777777" w:rsidTr="002C3CE6">
        <w:trPr>
          <w:trHeight w:val="510"/>
        </w:trPr>
        <w:tc>
          <w:tcPr>
            <w:tcW w:w="1413" w:type="dxa"/>
            <w:tcBorders>
              <w:top w:val="nil"/>
              <w:left w:val="single" w:sz="4" w:space="0" w:color="A6A6A6"/>
              <w:bottom w:val="single" w:sz="4" w:space="0" w:color="A6A6A6"/>
              <w:right w:val="single" w:sz="4" w:space="0" w:color="A6A6A6"/>
            </w:tcBorders>
            <w:shd w:val="clear" w:color="auto" w:fill="auto"/>
            <w:hideMark/>
          </w:tcPr>
          <w:p w14:paraId="3BF594E4" w14:textId="77777777" w:rsidR="00055BFD" w:rsidRPr="00E2784D" w:rsidRDefault="00055BFD" w:rsidP="002C3CE6">
            <w:pPr>
              <w:spacing w:after="0" w:line="240" w:lineRule="auto"/>
              <w:rPr>
                <w:rFonts w:eastAsia="Times New Roman" w:cs="Arial"/>
                <w:sz w:val="18"/>
                <w:szCs w:val="18"/>
                <w:lang w:eastAsia="en-AU"/>
              </w:rPr>
            </w:pPr>
            <w:r w:rsidRPr="00E2784D">
              <w:rPr>
                <w:rFonts w:eastAsia="Times New Roman" w:cs="Arial"/>
                <w:sz w:val="18"/>
                <w:szCs w:val="18"/>
                <w:lang w:eastAsia="en-AU"/>
              </w:rPr>
              <w:t>All</w:t>
            </w:r>
          </w:p>
        </w:tc>
        <w:tc>
          <w:tcPr>
            <w:tcW w:w="3969" w:type="dxa"/>
            <w:tcBorders>
              <w:top w:val="nil"/>
              <w:left w:val="nil"/>
              <w:bottom w:val="single" w:sz="4" w:space="0" w:color="A6A6A6"/>
              <w:right w:val="single" w:sz="4" w:space="0" w:color="A6A6A6"/>
            </w:tcBorders>
            <w:shd w:val="clear" w:color="auto" w:fill="auto"/>
            <w:hideMark/>
          </w:tcPr>
          <w:p w14:paraId="575DC465" w14:textId="77777777" w:rsidR="00055BFD" w:rsidRPr="00E2784D" w:rsidRDefault="00055BFD" w:rsidP="002C3CE6">
            <w:pPr>
              <w:spacing w:after="0" w:line="240" w:lineRule="auto"/>
              <w:rPr>
                <w:rFonts w:eastAsia="Times New Roman" w:cs="Arial"/>
                <w:sz w:val="18"/>
                <w:szCs w:val="18"/>
                <w:lang w:eastAsia="en-AU"/>
              </w:rPr>
            </w:pPr>
            <w:r w:rsidRPr="00E2784D">
              <w:rPr>
                <w:rFonts w:eastAsia="Times New Roman" w:cs="Arial"/>
                <w:sz w:val="18"/>
                <w:szCs w:val="18"/>
                <w:lang w:eastAsia="en-AU"/>
              </w:rPr>
              <w:t xml:space="preserve">Marrickville shopping village pavements require updating to draw in out of area traffic to contribute to local businesses. </w:t>
            </w:r>
          </w:p>
        </w:tc>
        <w:tc>
          <w:tcPr>
            <w:tcW w:w="3402" w:type="dxa"/>
            <w:tcBorders>
              <w:top w:val="nil"/>
              <w:left w:val="nil"/>
              <w:bottom w:val="single" w:sz="4" w:space="0" w:color="A6A6A6"/>
              <w:right w:val="single" w:sz="4" w:space="0" w:color="A6A6A6"/>
            </w:tcBorders>
            <w:shd w:val="clear" w:color="auto" w:fill="auto"/>
            <w:hideMark/>
          </w:tcPr>
          <w:p w14:paraId="4344412A" w14:textId="77777777" w:rsidR="00055BFD" w:rsidRPr="00E2784D" w:rsidRDefault="00055BFD" w:rsidP="002C3CE6">
            <w:pPr>
              <w:spacing w:after="0" w:line="240" w:lineRule="auto"/>
              <w:rPr>
                <w:rFonts w:eastAsia="Times New Roman" w:cs="Arial"/>
                <w:sz w:val="18"/>
                <w:szCs w:val="18"/>
                <w:lang w:eastAsia="en-AU"/>
              </w:rPr>
            </w:pPr>
            <w:r w:rsidRPr="00E2784D">
              <w:rPr>
                <w:rFonts w:eastAsia="Times New Roman" w:cs="Arial"/>
                <w:sz w:val="18"/>
                <w:szCs w:val="18"/>
                <w:lang w:eastAsia="en-AU"/>
              </w:rPr>
              <w:t xml:space="preserve">There is $1.2m in the 2020/2021 budget for Alex </w:t>
            </w:r>
            <w:proofErr w:type="spellStart"/>
            <w:r w:rsidRPr="00E2784D">
              <w:rPr>
                <w:rFonts w:eastAsia="Times New Roman" w:cs="Arial"/>
                <w:sz w:val="18"/>
                <w:szCs w:val="18"/>
                <w:lang w:eastAsia="en-AU"/>
              </w:rPr>
              <w:t>Trevallion</w:t>
            </w:r>
            <w:proofErr w:type="spellEnd"/>
            <w:r w:rsidRPr="00E2784D">
              <w:rPr>
                <w:rFonts w:eastAsia="Times New Roman" w:cs="Arial"/>
                <w:sz w:val="18"/>
                <w:szCs w:val="18"/>
                <w:lang w:eastAsia="en-AU"/>
              </w:rPr>
              <w:t xml:space="preserve"> Plaza upgrade works, including the pavers.  This project has been delayed due to sourcing pavers from China during COVID.</w:t>
            </w:r>
          </w:p>
        </w:tc>
        <w:tc>
          <w:tcPr>
            <w:tcW w:w="1276" w:type="dxa"/>
            <w:tcBorders>
              <w:top w:val="nil"/>
              <w:left w:val="nil"/>
              <w:bottom w:val="single" w:sz="4" w:space="0" w:color="A6A6A6"/>
              <w:right w:val="single" w:sz="4" w:space="0" w:color="A6A6A6"/>
            </w:tcBorders>
            <w:shd w:val="clear" w:color="auto" w:fill="auto"/>
          </w:tcPr>
          <w:p w14:paraId="2C84C65F" w14:textId="77777777" w:rsidR="00055BFD" w:rsidRPr="00CD71E6" w:rsidRDefault="00055BFD" w:rsidP="002C3CE6">
            <w:pPr>
              <w:spacing w:after="0" w:line="240" w:lineRule="auto"/>
              <w:rPr>
                <w:rFonts w:eastAsia="Times New Roman" w:cs="Arial"/>
                <w:sz w:val="18"/>
                <w:szCs w:val="18"/>
                <w:lang w:eastAsia="en-AU"/>
              </w:rPr>
            </w:pPr>
            <w:r>
              <w:rPr>
                <w:rFonts w:eastAsia="Times New Roman" w:cs="Arial"/>
                <w:sz w:val="18"/>
                <w:szCs w:val="18"/>
                <w:lang w:eastAsia="en-AU"/>
              </w:rPr>
              <w:t>No</w:t>
            </w:r>
          </w:p>
        </w:tc>
      </w:tr>
      <w:tr w:rsidR="00055BFD" w:rsidRPr="00D1184F" w14:paraId="13B2B5E6" w14:textId="77777777" w:rsidTr="002C3CE6">
        <w:trPr>
          <w:trHeight w:val="1035"/>
        </w:trPr>
        <w:tc>
          <w:tcPr>
            <w:tcW w:w="1413" w:type="dxa"/>
            <w:tcBorders>
              <w:top w:val="nil"/>
              <w:left w:val="single" w:sz="4" w:space="0" w:color="A6A6A6"/>
              <w:bottom w:val="nil"/>
              <w:right w:val="single" w:sz="4" w:space="0" w:color="A6A6A6"/>
            </w:tcBorders>
            <w:shd w:val="clear" w:color="auto" w:fill="auto"/>
            <w:hideMark/>
          </w:tcPr>
          <w:p w14:paraId="28B1FB46" w14:textId="2ED293A7" w:rsidR="00055BFD" w:rsidRPr="00E2784D" w:rsidRDefault="009C1BA9" w:rsidP="002C3CE6">
            <w:pPr>
              <w:spacing w:after="0" w:line="240" w:lineRule="auto"/>
              <w:rPr>
                <w:rFonts w:eastAsia="Times New Roman" w:cs="Arial"/>
                <w:sz w:val="18"/>
                <w:szCs w:val="18"/>
                <w:lang w:eastAsia="en-AU"/>
              </w:rPr>
            </w:pPr>
            <w:r>
              <w:rPr>
                <w:rFonts w:eastAsia="Times New Roman" w:cs="Arial"/>
                <w:sz w:val="18"/>
                <w:szCs w:val="18"/>
                <w:lang w:eastAsia="en-AU"/>
              </w:rPr>
              <w:t>Delivery Program and Operational Plan (</w:t>
            </w:r>
            <w:r w:rsidR="00055BFD">
              <w:rPr>
                <w:rFonts w:eastAsia="Times New Roman" w:cs="Arial"/>
                <w:sz w:val="18"/>
                <w:szCs w:val="18"/>
                <w:lang w:eastAsia="en-AU"/>
              </w:rPr>
              <w:t>DPOP</w:t>
            </w:r>
            <w:r>
              <w:rPr>
                <w:rFonts w:eastAsia="Times New Roman" w:cs="Arial"/>
                <w:sz w:val="18"/>
                <w:szCs w:val="18"/>
                <w:lang w:eastAsia="en-AU"/>
              </w:rPr>
              <w:t>)</w:t>
            </w:r>
          </w:p>
        </w:tc>
        <w:tc>
          <w:tcPr>
            <w:tcW w:w="3969" w:type="dxa"/>
            <w:tcBorders>
              <w:top w:val="nil"/>
              <w:left w:val="nil"/>
              <w:bottom w:val="nil"/>
              <w:right w:val="single" w:sz="4" w:space="0" w:color="A6A6A6"/>
            </w:tcBorders>
            <w:shd w:val="clear" w:color="auto" w:fill="auto"/>
            <w:hideMark/>
          </w:tcPr>
          <w:p w14:paraId="4F0169CC" w14:textId="77777777" w:rsidR="00055BFD" w:rsidRPr="00E2784D" w:rsidRDefault="00055BFD" w:rsidP="002C3CE6">
            <w:pPr>
              <w:spacing w:after="0" w:line="240" w:lineRule="auto"/>
              <w:rPr>
                <w:rFonts w:eastAsia="Times New Roman" w:cs="Arial"/>
                <w:sz w:val="18"/>
                <w:szCs w:val="18"/>
                <w:lang w:eastAsia="en-AU"/>
              </w:rPr>
            </w:pPr>
            <w:r w:rsidRPr="00E2784D">
              <w:rPr>
                <w:rFonts w:eastAsia="Times New Roman" w:cs="Arial"/>
                <w:sz w:val="18"/>
                <w:szCs w:val="18"/>
                <w:lang w:eastAsia="en-AU"/>
              </w:rPr>
              <w:t>The public footpaths along Marrickville Road in Dulwich Hill Village require repair due to being damaged by electrical and water works. Trip hazards need fixing and possibly some planter boxes could make the area more appealing to visitors.</w:t>
            </w:r>
          </w:p>
        </w:tc>
        <w:tc>
          <w:tcPr>
            <w:tcW w:w="3402" w:type="dxa"/>
            <w:tcBorders>
              <w:top w:val="nil"/>
              <w:left w:val="nil"/>
              <w:bottom w:val="nil"/>
              <w:right w:val="single" w:sz="4" w:space="0" w:color="A6A6A6"/>
            </w:tcBorders>
            <w:shd w:val="clear" w:color="auto" w:fill="auto"/>
            <w:hideMark/>
          </w:tcPr>
          <w:p w14:paraId="044487E3" w14:textId="77777777" w:rsidR="00055BFD" w:rsidRPr="00E2784D" w:rsidRDefault="00055BFD" w:rsidP="002C3CE6">
            <w:pPr>
              <w:spacing w:after="0" w:line="240" w:lineRule="auto"/>
              <w:rPr>
                <w:rFonts w:eastAsia="Times New Roman" w:cs="Arial"/>
                <w:sz w:val="18"/>
                <w:szCs w:val="18"/>
                <w:lang w:eastAsia="en-AU"/>
              </w:rPr>
            </w:pPr>
            <w:r w:rsidRPr="00E2784D">
              <w:rPr>
                <w:rFonts w:eastAsia="Times New Roman" w:cs="Arial"/>
                <w:sz w:val="18"/>
                <w:szCs w:val="18"/>
                <w:lang w:eastAsia="en-AU"/>
              </w:rPr>
              <w:t>Utility companies may undertake works in the road and footpath without the consent of Council.  Council has a four year capital works program, which prioritises expenditure.  The requests for upgrade works on Marrickville Road, at Dulwich Hill Village can be considered in future capital works programs.</w:t>
            </w:r>
          </w:p>
        </w:tc>
        <w:tc>
          <w:tcPr>
            <w:tcW w:w="1276" w:type="dxa"/>
            <w:tcBorders>
              <w:top w:val="nil"/>
              <w:left w:val="nil"/>
              <w:bottom w:val="nil"/>
              <w:right w:val="single" w:sz="4" w:space="0" w:color="A6A6A6"/>
            </w:tcBorders>
            <w:shd w:val="clear" w:color="auto" w:fill="auto"/>
          </w:tcPr>
          <w:p w14:paraId="541DBB99" w14:textId="77777777" w:rsidR="00055BFD" w:rsidRPr="00CD71E6" w:rsidRDefault="00055BFD" w:rsidP="002C3CE6">
            <w:pPr>
              <w:spacing w:after="0" w:line="240" w:lineRule="auto"/>
              <w:rPr>
                <w:rFonts w:eastAsia="Times New Roman" w:cs="Arial"/>
                <w:sz w:val="18"/>
                <w:szCs w:val="18"/>
                <w:lang w:eastAsia="en-AU"/>
              </w:rPr>
            </w:pPr>
            <w:r>
              <w:rPr>
                <w:rFonts w:eastAsia="Times New Roman" w:cs="Arial"/>
                <w:sz w:val="18"/>
                <w:szCs w:val="18"/>
                <w:lang w:eastAsia="en-AU"/>
              </w:rPr>
              <w:t>No</w:t>
            </w:r>
          </w:p>
        </w:tc>
      </w:tr>
      <w:tr w:rsidR="00055BFD" w:rsidRPr="00D1184F" w14:paraId="334FC19A" w14:textId="77777777" w:rsidTr="002C3CE6">
        <w:trPr>
          <w:trHeight w:val="765"/>
        </w:trPr>
        <w:tc>
          <w:tcPr>
            <w:tcW w:w="1413" w:type="dxa"/>
            <w:vMerge w:val="restart"/>
            <w:tcBorders>
              <w:top w:val="single" w:sz="8" w:space="0" w:color="auto"/>
              <w:left w:val="single" w:sz="8" w:space="0" w:color="auto"/>
              <w:bottom w:val="single" w:sz="8" w:space="0" w:color="000000"/>
              <w:right w:val="single" w:sz="4" w:space="0" w:color="A6A6A6"/>
            </w:tcBorders>
            <w:shd w:val="clear" w:color="auto" w:fill="auto"/>
            <w:hideMark/>
          </w:tcPr>
          <w:p w14:paraId="49F8FFD0" w14:textId="77777777" w:rsidR="00055BFD" w:rsidRPr="00E2784D" w:rsidRDefault="00055BFD" w:rsidP="002C3CE6">
            <w:pPr>
              <w:spacing w:after="0" w:line="240" w:lineRule="auto"/>
              <w:rPr>
                <w:rFonts w:eastAsia="Times New Roman" w:cs="Arial"/>
                <w:sz w:val="18"/>
                <w:szCs w:val="18"/>
                <w:lang w:eastAsia="en-AU"/>
              </w:rPr>
            </w:pPr>
            <w:r>
              <w:rPr>
                <w:rFonts w:eastAsia="Times New Roman" w:cs="Arial"/>
                <w:sz w:val="18"/>
                <w:szCs w:val="18"/>
                <w:lang w:eastAsia="en-AU"/>
              </w:rPr>
              <w:t>DPOP</w:t>
            </w:r>
          </w:p>
        </w:tc>
        <w:tc>
          <w:tcPr>
            <w:tcW w:w="3969" w:type="dxa"/>
            <w:tcBorders>
              <w:top w:val="single" w:sz="8" w:space="0" w:color="auto"/>
              <w:left w:val="nil"/>
              <w:bottom w:val="single" w:sz="4" w:space="0" w:color="A6A6A6"/>
              <w:right w:val="single" w:sz="4" w:space="0" w:color="A6A6A6"/>
            </w:tcBorders>
            <w:shd w:val="clear" w:color="auto" w:fill="auto"/>
            <w:hideMark/>
          </w:tcPr>
          <w:p w14:paraId="707A9E6F" w14:textId="53A65E44" w:rsidR="00055BFD" w:rsidRDefault="00055BFD" w:rsidP="002C3CE6">
            <w:pPr>
              <w:pStyle w:val="Default"/>
            </w:pPr>
            <w:r>
              <w:rPr>
                <w:sz w:val="18"/>
                <w:szCs w:val="18"/>
              </w:rPr>
              <w:t xml:space="preserve">Querying if the Camdenville Park St Peters upgrades will be put back on track for completion after being postponed from 2005 to 2014 and again due to </w:t>
            </w:r>
            <w:r w:rsidR="00D759E9">
              <w:rPr>
                <w:sz w:val="18"/>
                <w:szCs w:val="18"/>
              </w:rPr>
              <w:t>WestConnex</w:t>
            </w:r>
            <w:bookmarkStart w:id="1" w:name="_GoBack"/>
            <w:bookmarkEnd w:id="1"/>
            <w:r>
              <w:rPr>
                <w:sz w:val="18"/>
                <w:szCs w:val="18"/>
              </w:rPr>
              <w:t xml:space="preserve">. </w:t>
            </w:r>
          </w:p>
          <w:p w14:paraId="2B1CFA4B" w14:textId="77777777" w:rsidR="00055BFD" w:rsidRPr="00E2784D" w:rsidRDefault="00055BFD" w:rsidP="002C3CE6">
            <w:pPr>
              <w:spacing w:after="0" w:line="240" w:lineRule="auto"/>
              <w:rPr>
                <w:rFonts w:eastAsia="Times New Roman" w:cs="Arial"/>
                <w:sz w:val="18"/>
                <w:szCs w:val="18"/>
                <w:lang w:eastAsia="en-AU"/>
              </w:rPr>
            </w:pPr>
          </w:p>
        </w:tc>
        <w:tc>
          <w:tcPr>
            <w:tcW w:w="3402" w:type="dxa"/>
            <w:tcBorders>
              <w:top w:val="single" w:sz="8" w:space="0" w:color="auto"/>
              <w:left w:val="nil"/>
              <w:bottom w:val="single" w:sz="4" w:space="0" w:color="A6A6A6"/>
              <w:right w:val="single" w:sz="8" w:space="0" w:color="auto"/>
            </w:tcBorders>
            <w:shd w:val="clear" w:color="auto" w:fill="auto"/>
            <w:hideMark/>
          </w:tcPr>
          <w:p w14:paraId="11BACD5D" w14:textId="77777777" w:rsidR="00055BFD" w:rsidRPr="00E2784D" w:rsidRDefault="00055BFD" w:rsidP="002C3CE6">
            <w:pPr>
              <w:spacing w:after="0" w:line="240" w:lineRule="auto"/>
              <w:rPr>
                <w:rFonts w:eastAsia="Times New Roman" w:cs="Arial"/>
                <w:sz w:val="18"/>
                <w:szCs w:val="18"/>
                <w:lang w:eastAsia="en-AU"/>
              </w:rPr>
            </w:pPr>
            <w:r w:rsidRPr="00E2784D">
              <w:rPr>
                <w:rFonts w:eastAsia="Times New Roman" w:cs="Arial"/>
                <w:sz w:val="18"/>
                <w:szCs w:val="18"/>
                <w:lang w:eastAsia="en-AU"/>
              </w:rPr>
              <w:t>There is $1m in the 2023/2024 and $3m in the 2024/2025 budget for the Camdenville Park upgrade.  Unfortunately</w:t>
            </w:r>
            <w:r>
              <w:rPr>
                <w:rFonts w:eastAsia="Times New Roman" w:cs="Arial"/>
                <w:sz w:val="18"/>
                <w:szCs w:val="18"/>
                <w:lang w:eastAsia="en-AU"/>
              </w:rPr>
              <w:t>,</w:t>
            </w:r>
            <w:r w:rsidRPr="00E2784D">
              <w:rPr>
                <w:rFonts w:eastAsia="Times New Roman" w:cs="Arial"/>
                <w:sz w:val="18"/>
                <w:szCs w:val="18"/>
                <w:lang w:eastAsia="en-AU"/>
              </w:rPr>
              <w:t xml:space="preserve"> the works in this park have had to be put on hold pending the completion of the WestConnex and Transgrid works, including use of the park as a worksite.</w:t>
            </w:r>
          </w:p>
        </w:tc>
        <w:tc>
          <w:tcPr>
            <w:tcW w:w="1276" w:type="dxa"/>
            <w:tcBorders>
              <w:top w:val="single" w:sz="8" w:space="0" w:color="auto"/>
              <w:left w:val="nil"/>
              <w:bottom w:val="single" w:sz="4" w:space="0" w:color="A6A6A6"/>
              <w:right w:val="single" w:sz="8" w:space="0" w:color="auto"/>
            </w:tcBorders>
            <w:shd w:val="clear" w:color="auto" w:fill="auto"/>
          </w:tcPr>
          <w:p w14:paraId="46653284" w14:textId="77777777" w:rsidR="00055BFD" w:rsidRPr="00CD71E6" w:rsidRDefault="00055BFD" w:rsidP="002C3CE6">
            <w:pPr>
              <w:spacing w:after="0" w:line="240" w:lineRule="auto"/>
              <w:rPr>
                <w:rFonts w:eastAsia="Times New Roman" w:cs="Arial"/>
                <w:sz w:val="18"/>
                <w:szCs w:val="18"/>
                <w:lang w:eastAsia="en-AU"/>
              </w:rPr>
            </w:pPr>
            <w:r>
              <w:rPr>
                <w:rFonts w:eastAsia="Times New Roman" w:cs="Arial"/>
                <w:sz w:val="18"/>
                <w:szCs w:val="18"/>
                <w:lang w:eastAsia="en-AU"/>
              </w:rPr>
              <w:t>No</w:t>
            </w:r>
          </w:p>
        </w:tc>
      </w:tr>
      <w:tr w:rsidR="00055BFD" w:rsidRPr="00D1184F" w14:paraId="108B28AA" w14:textId="77777777" w:rsidTr="002C3CE6">
        <w:trPr>
          <w:trHeight w:val="255"/>
        </w:trPr>
        <w:tc>
          <w:tcPr>
            <w:tcW w:w="1413" w:type="dxa"/>
            <w:vMerge/>
            <w:tcBorders>
              <w:top w:val="single" w:sz="8" w:space="0" w:color="auto"/>
              <w:left w:val="single" w:sz="8" w:space="0" w:color="auto"/>
              <w:bottom w:val="single" w:sz="8" w:space="0" w:color="000000"/>
              <w:right w:val="single" w:sz="4" w:space="0" w:color="A6A6A6"/>
            </w:tcBorders>
            <w:shd w:val="clear" w:color="auto" w:fill="auto"/>
            <w:vAlign w:val="center"/>
            <w:hideMark/>
          </w:tcPr>
          <w:p w14:paraId="15C30E02" w14:textId="77777777" w:rsidR="00055BFD" w:rsidRPr="00E2784D" w:rsidRDefault="00055BFD" w:rsidP="002C3CE6">
            <w:pPr>
              <w:spacing w:after="0" w:line="240" w:lineRule="auto"/>
              <w:rPr>
                <w:rFonts w:eastAsia="Times New Roman" w:cs="Arial"/>
                <w:sz w:val="18"/>
                <w:szCs w:val="18"/>
                <w:lang w:eastAsia="en-AU"/>
              </w:rPr>
            </w:pPr>
          </w:p>
        </w:tc>
        <w:tc>
          <w:tcPr>
            <w:tcW w:w="3969" w:type="dxa"/>
            <w:tcBorders>
              <w:top w:val="nil"/>
              <w:left w:val="nil"/>
              <w:bottom w:val="single" w:sz="4" w:space="0" w:color="A6A6A6"/>
              <w:right w:val="single" w:sz="4" w:space="0" w:color="A6A6A6"/>
            </w:tcBorders>
            <w:shd w:val="clear" w:color="auto" w:fill="auto"/>
            <w:hideMark/>
          </w:tcPr>
          <w:p w14:paraId="76FD2D21" w14:textId="77777777" w:rsidR="00055BFD" w:rsidRPr="0038310A" w:rsidRDefault="00055BFD" w:rsidP="002C3CE6">
            <w:pPr>
              <w:pStyle w:val="Default"/>
            </w:pPr>
            <w:r>
              <w:rPr>
                <w:sz w:val="18"/>
                <w:szCs w:val="18"/>
              </w:rPr>
              <w:t xml:space="preserve">Question regarding the upgrade in Alexandria to the Transgrid cable. </w:t>
            </w:r>
          </w:p>
        </w:tc>
        <w:tc>
          <w:tcPr>
            <w:tcW w:w="3402" w:type="dxa"/>
            <w:tcBorders>
              <w:top w:val="nil"/>
              <w:left w:val="nil"/>
              <w:bottom w:val="single" w:sz="4" w:space="0" w:color="A6A6A6"/>
              <w:right w:val="single" w:sz="8" w:space="0" w:color="auto"/>
            </w:tcBorders>
            <w:shd w:val="clear" w:color="auto" w:fill="auto"/>
            <w:hideMark/>
          </w:tcPr>
          <w:p w14:paraId="69B932FD" w14:textId="77777777" w:rsidR="00055BFD" w:rsidRPr="0038310A" w:rsidRDefault="00055BFD" w:rsidP="002C3CE6">
            <w:pPr>
              <w:pStyle w:val="Default"/>
            </w:pPr>
            <w:r>
              <w:rPr>
                <w:sz w:val="18"/>
                <w:szCs w:val="18"/>
              </w:rPr>
              <w:t xml:space="preserve">Not a Council Project, no response required. </w:t>
            </w:r>
          </w:p>
        </w:tc>
        <w:tc>
          <w:tcPr>
            <w:tcW w:w="1276" w:type="dxa"/>
            <w:tcBorders>
              <w:top w:val="nil"/>
              <w:left w:val="nil"/>
              <w:bottom w:val="single" w:sz="4" w:space="0" w:color="A6A6A6"/>
              <w:right w:val="single" w:sz="8" w:space="0" w:color="auto"/>
            </w:tcBorders>
            <w:shd w:val="clear" w:color="auto" w:fill="auto"/>
          </w:tcPr>
          <w:p w14:paraId="00E5F240" w14:textId="77777777" w:rsidR="00055BFD" w:rsidRPr="0038310A" w:rsidRDefault="00055BFD" w:rsidP="002C3CE6">
            <w:pPr>
              <w:spacing w:after="0" w:line="240" w:lineRule="auto"/>
              <w:rPr>
                <w:rFonts w:eastAsia="Times New Roman" w:cs="Arial"/>
                <w:sz w:val="18"/>
                <w:szCs w:val="18"/>
                <w:lang w:eastAsia="en-AU"/>
              </w:rPr>
            </w:pPr>
            <w:r w:rsidRPr="0038310A">
              <w:rPr>
                <w:rFonts w:eastAsia="Times New Roman" w:cs="Arial"/>
                <w:sz w:val="18"/>
                <w:szCs w:val="18"/>
                <w:lang w:eastAsia="en-AU"/>
              </w:rPr>
              <w:t>No</w:t>
            </w:r>
          </w:p>
        </w:tc>
      </w:tr>
      <w:tr w:rsidR="00055BFD" w:rsidRPr="00D1184F" w14:paraId="742F2B70" w14:textId="77777777" w:rsidTr="002C3CE6">
        <w:trPr>
          <w:trHeight w:val="525"/>
        </w:trPr>
        <w:tc>
          <w:tcPr>
            <w:tcW w:w="1413" w:type="dxa"/>
            <w:vMerge/>
            <w:tcBorders>
              <w:top w:val="single" w:sz="8" w:space="0" w:color="auto"/>
              <w:left w:val="single" w:sz="8" w:space="0" w:color="auto"/>
              <w:bottom w:val="single" w:sz="8" w:space="0" w:color="000000"/>
              <w:right w:val="single" w:sz="4" w:space="0" w:color="A6A6A6"/>
            </w:tcBorders>
            <w:shd w:val="clear" w:color="auto" w:fill="auto"/>
            <w:vAlign w:val="center"/>
            <w:hideMark/>
          </w:tcPr>
          <w:p w14:paraId="45A3CA11" w14:textId="77777777" w:rsidR="00055BFD" w:rsidRPr="00E2784D" w:rsidRDefault="00055BFD" w:rsidP="002C3CE6">
            <w:pPr>
              <w:spacing w:after="0" w:line="240" w:lineRule="auto"/>
              <w:rPr>
                <w:rFonts w:eastAsia="Times New Roman" w:cs="Arial"/>
                <w:sz w:val="18"/>
                <w:szCs w:val="18"/>
                <w:lang w:eastAsia="en-AU"/>
              </w:rPr>
            </w:pPr>
          </w:p>
        </w:tc>
        <w:tc>
          <w:tcPr>
            <w:tcW w:w="3969" w:type="dxa"/>
            <w:tcBorders>
              <w:top w:val="nil"/>
              <w:left w:val="nil"/>
              <w:bottom w:val="single" w:sz="8" w:space="0" w:color="auto"/>
              <w:right w:val="single" w:sz="4" w:space="0" w:color="A6A6A6"/>
            </w:tcBorders>
            <w:shd w:val="clear" w:color="auto" w:fill="auto"/>
            <w:hideMark/>
          </w:tcPr>
          <w:p w14:paraId="378BB805" w14:textId="77777777" w:rsidR="00055BFD" w:rsidRPr="00E2784D" w:rsidRDefault="00055BFD" w:rsidP="002C3CE6">
            <w:pPr>
              <w:spacing w:after="0" w:line="240" w:lineRule="auto"/>
              <w:rPr>
                <w:rFonts w:eastAsia="Times New Roman" w:cs="Arial"/>
                <w:sz w:val="18"/>
                <w:szCs w:val="18"/>
                <w:lang w:eastAsia="en-AU"/>
              </w:rPr>
            </w:pPr>
            <w:r w:rsidRPr="00E2784D">
              <w:rPr>
                <w:rFonts w:eastAsia="Times New Roman" w:cs="Arial"/>
                <w:sz w:val="18"/>
                <w:szCs w:val="18"/>
                <w:lang w:eastAsia="en-AU"/>
              </w:rPr>
              <w:t>How much money in contributions from development projects in St Peters has been collected by council over the past 4 years and what portion of that has been budgeted to spend in the St Peters area?</w:t>
            </w:r>
          </w:p>
        </w:tc>
        <w:tc>
          <w:tcPr>
            <w:tcW w:w="3402" w:type="dxa"/>
            <w:tcBorders>
              <w:top w:val="nil"/>
              <w:left w:val="nil"/>
              <w:bottom w:val="single" w:sz="8" w:space="0" w:color="auto"/>
              <w:right w:val="single" w:sz="8" w:space="0" w:color="auto"/>
            </w:tcBorders>
            <w:shd w:val="clear" w:color="auto" w:fill="auto"/>
            <w:hideMark/>
          </w:tcPr>
          <w:p w14:paraId="061F5EB4" w14:textId="77777777" w:rsidR="00055BFD" w:rsidRPr="00E2784D" w:rsidRDefault="00055BFD" w:rsidP="002C3CE6">
            <w:pPr>
              <w:pStyle w:val="Default"/>
              <w:rPr>
                <w:rFonts w:eastAsia="Times New Roman"/>
                <w:b/>
                <w:bCs/>
                <w:color w:val="FF0000"/>
                <w:sz w:val="18"/>
                <w:szCs w:val="18"/>
                <w:lang w:eastAsia="en-AU"/>
              </w:rPr>
            </w:pPr>
            <w:r w:rsidRPr="0038310A">
              <w:rPr>
                <w:sz w:val="18"/>
                <w:szCs w:val="18"/>
              </w:rPr>
              <w:t>Council can only provide holistic figures for developer contributions at this point in time. Council is working with the State Government on improving legislative requirements that will provide more transparency regarding developer contributions in the future.</w:t>
            </w:r>
          </w:p>
        </w:tc>
        <w:tc>
          <w:tcPr>
            <w:tcW w:w="1276" w:type="dxa"/>
            <w:tcBorders>
              <w:top w:val="nil"/>
              <w:left w:val="nil"/>
              <w:bottom w:val="single" w:sz="8" w:space="0" w:color="auto"/>
              <w:right w:val="single" w:sz="8" w:space="0" w:color="auto"/>
            </w:tcBorders>
            <w:shd w:val="clear" w:color="auto" w:fill="auto"/>
          </w:tcPr>
          <w:p w14:paraId="7C80CC6B" w14:textId="77777777" w:rsidR="00055BFD" w:rsidRPr="0038310A" w:rsidRDefault="00055BFD" w:rsidP="002C3CE6">
            <w:pPr>
              <w:spacing w:after="0" w:line="240" w:lineRule="auto"/>
              <w:rPr>
                <w:rFonts w:eastAsia="Times New Roman" w:cs="Arial"/>
                <w:sz w:val="18"/>
                <w:szCs w:val="18"/>
                <w:lang w:eastAsia="en-AU"/>
              </w:rPr>
            </w:pPr>
            <w:r w:rsidRPr="0038310A">
              <w:rPr>
                <w:rFonts w:eastAsia="Times New Roman" w:cs="Arial"/>
                <w:sz w:val="18"/>
                <w:szCs w:val="18"/>
                <w:lang w:eastAsia="en-AU"/>
              </w:rPr>
              <w:t>No</w:t>
            </w:r>
          </w:p>
        </w:tc>
      </w:tr>
      <w:tr w:rsidR="00055BFD" w:rsidRPr="00D1184F" w14:paraId="1F65D9DA" w14:textId="77777777" w:rsidTr="002C3CE6">
        <w:trPr>
          <w:trHeight w:val="3825"/>
        </w:trPr>
        <w:tc>
          <w:tcPr>
            <w:tcW w:w="1413" w:type="dxa"/>
            <w:tcBorders>
              <w:top w:val="nil"/>
              <w:left w:val="single" w:sz="4" w:space="0" w:color="A6A6A6"/>
              <w:bottom w:val="single" w:sz="4" w:space="0" w:color="A6A6A6"/>
              <w:right w:val="single" w:sz="4" w:space="0" w:color="A6A6A6"/>
            </w:tcBorders>
            <w:shd w:val="clear" w:color="auto" w:fill="auto"/>
            <w:hideMark/>
          </w:tcPr>
          <w:p w14:paraId="50A27095" w14:textId="77777777" w:rsidR="00055BFD" w:rsidRPr="00D03B1D" w:rsidRDefault="00055BFD" w:rsidP="00D03B1D">
            <w:pPr>
              <w:pStyle w:val="Heading2"/>
              <w:rPr>
                <w:rFonts w:eastAsia="Times New Roman"/>
                <w:sz w:val="20"/>
                <w:szCs w:val="20"/>
                <w:lang w:eastAsia="en-AU"/>
              </w:rPr>
            </w:pPr>
            <w:r w:rsidRPr="00D03B1D">
              <w:rPr>
                <w:rFonts w:eastAsia="Times New Roman"/>
                <w:sz w:val="20"/>
                <w:szCs w:val="20"/>
                <w:lang w:eastAsia="en-AU"/>
              </w:rPr>
              <w:lastRenderedPageBreak/>
              <w:t>DPOP</w:t>
            </w:r>
          </w:p>
        </w:tc>
        <w:tc>
          <w:tcPr>
            <w:tcW w:w="3969" w:type="dxa"/>
            <w:tcBorders>
              <w:top w:val="nil"/>
              <w:left w:val="nil"/>
              <w:bottom w:val="single" w:sz="4" w:space="0" w:color="A6A6A6"/>
              <w:right w:val="single" w:sz="4" w:space="0" w:color="A6A6A6"/>
            </w:tcBorders>
            <w:shd w:val="clear" w:color="auto" w:fill="auto"/>
            <w:hideMark/>
          </w:tcPr>
          <w:p w14:paraId="02C5D894" w14:textId="79AB30F6" w:rsidR="00055BFD" w:rsidRPr="00E2784D" w:rsidRDefault="00055BFD" w:rsidP="002C3CE6">
            <w:pPr>
              <w:spacing w:after="0" w:line="240" w:lineRule="auto"/>
              <w:rPr>
                <w:rFonts w:eastAsia="Times New Roman" w:cs="Arial"/>
                <w:sz w:val="18"/>
                <w:szCs w:val="18"/>
                <w:lang w:eastAsia="en-AU"/>
              </w:rPr>
            </w:pPr>
            <w:r w:rsidRPr="00CD71E6">
              <w:rPr>
                <w:rFonts w:eastAsia="Times New Roman" w:cs="Arial"/>
                <w:sz w:val="18"/>
                <w:szCs w:val="18"/>
                <w:lang w:eastAsia="en-AU"/>
              </w:rPr>
              <w:t xml:space="preserve">Question regarding the funding for the synthetic field at Leichhardt 2 oval. (received from twelve (12) respondents through Your Say </w:t>
            </w:r>
            <w:r>
              <w:rPr>
                <w:rFonts w:eastAsia="Times New Roman" w:cs="Arial"/>
                <w:sz w:val="18"/>
                <w:szCs w:val="18"/>
                <w:lang w:eastAsia="en-AU"/>
              </w:rPr>
              <w:t>and via other channels</w:t>
            </w:r>
          </w:p>
        </w:tc>
        <w:tc>
          <w:tcPr>
            <w:tcW w:w="3402" w:type="dxa"/>
            <w:tcBorders>
              <w:top w:val="nil"/>
              <w:left w:val="nil"/>
              <w:bottom w:val="single" w:sz="4" w:space="0" w:color="A6A6A6"/>
              <w:right w:val="single" w:sz="4" w:space="0" w:color="A6A6A6"/>
            </w:tcBorders>
            <w:shd w:val="clear" w:color="auto" w:fill="auto"/>
            <w:hideMark/>
          </w:tcPr>
          <w:p w14:paraId="7B124E13" w14:textId="77777777" w:rsidR="00055BFD" w:rsidRPr="00E2784D" w:rsidRDefault="00055BFD" w:rsidP="002C3CE6">
            <w:pPr>
              <w:spacing w:after="0" w:line="240" w:lineRule="auto"/>
              <w:rPr>
                <w:rFonts w:eastAsia="Times New Roman" w:cs="Arial"/>
                <w:sz w:val="18"/>
                <w:szCs w:val="18"/>
                <w:lang w:eastAsia="en-AU"/>
              </w:rPr>
            </w:pPr>
            <w:r w:rsidRPr="00E2784D">
              <w:rPr>
                <w:rFonts w:eastAsia="Times New Roman" w:cs="Arial"/>
                <w:sz w:val="18"/>
                <w:szCs w:val="18"/>
                <w:lang w:eastAsia="en-AU"/>
              </w:rPr>
              <w:t>The Council resolution was (28 May 2019):</w:t>
            </w:r>
            <w:r w:rsidRPr="00E2784D">
              <w:rPr>
                <w:rFonts w:eastAsia="Times New Roman" w:cs="Arial"/>
                <w:sz w:val="18"/>
                <w:szCs w:val="18"/>
                <w:lang w:eastAsia="en-AU"/>
              </w:rPr>
              <w:br/>
              <w:t>THAT Council:</w:t>
            </w:r>
            <w:r w:rsidRPr="00E2784D">
              <w:rPr>
                <w:rFonts w:eastAsia="Times New Roman" w:cs="Arial"/>
                <w:sz w:val="18"/>
                <w:szCs w:val="18"/>
                <w:lang w:eastAsia="en-AU"/>
              </w:rPr>
              <w:br/>
              <w:t>1.    Endorse Tempe Reserve as the preferred site for synthetic sports surface upgrade and proceed to community engagement and detailed design in 2018-2019 and construction in Summer 2020-2021;</w:t>
            </w:r>
            <w:r w:rsidRPr="00E2784D">
              <w:rPr>
                <w:rFonts w:eastAsia="Times New Roman" w:cs="Arial"/>
                <w:sz w:val="18"/>
                <w:szCs w:val="18"/>
                <w:lang w:eastAsia="en-AU"/>
              </w:rPr>
              <w:br/>
              <w:t>2.    Proceed with concept designs and costings for a synthetic sports surface at Leichhardt Oval #2 suitable for future grant funding applications and community engagement as part of the Draft Plan of Management for Leichhardt Park;</w:t>
            </w:r>
            <w:r w:rsidRPr="00E2784D">
              <w:rPr>
                <w:rFonts w:eastAsia="Times New Roman" w:cs="Arial"/>
                <w:sz w:val="18"/>
                <w:szCs w:val="18"/>
                <w:lang w:eastAsia="en-AU"/>
              </w:rPr>
              <w:br/>
              <w:t>3.    Staff review priorities for the other shortlisted sites together with the Recreation Needs Strategy sports field renewal program preparation in 2019-2020; and</w:t>
            </w:r>
            <w:r w:rsidRPr="00E2784D">
              <w:rPr>
                <w:rFonts w:eastAsia="Times New Roman" w:cs="Arial"/>
                <w:sz w:val="18"/>
                <w:szCs w:val="18"/>
                <w:lang w:eastAsia="en-AU"/>
              </w:rPr>
              <w:br/>
              <w:t xml:space="preserve">4.    Continues to explore opportunities for partnerships with schools and private development for synthetic surface recreation facilities provision. </w:t>
            </w:r>
            <w:r w:rsidRPr="00E2784D">
              <w:rPr>
                <w:rFonts w:eastAsia="Times New Roman" w:cs="Arial"/>
                <w:sz w:val="18"/>
                <w:szCs w:val="18"/>
                <w:lang w:eastAsia="en-AU"/>
              </w:rPr>
              <w:br/>
              <w:t>As per the Council resolution, the synthetic field at Tempe has been funded; however, the proposed synthetic field at Leichhardt #2 has not been funded at this time.  Council will continue to explore funding opportunities.</w:t>
            </w:r>
          </w:p>
        </w:tc>
        <w:tc>
          <w:tcPr>
            <w:tcW w:w="1276" w:type="dxa"/>
            <w:tcBorders>
              <w:top w:val="nil"/>
              <w:left w:val="nil"/>
              <w:bottom w:val="single" w:sz="4" w:space="0" w:color="A6A6A6"/>
              <w:right w:val="single" w:sz="4" w:space="0" w:color="A6A6A6"/>
            </w:tcBorders>
            <w:shd w:val="clear" w:color="auto" w:fill="auto"/>
          </w:tcPr>
          <w:p w14:paraId="084A2479" w14:textId="77777777" w:rsidR="00055BFD" w:rsidRPr="00CD71E6" w:rsidRDefault="00055BFD" w:rsidP="002C3CE6">
            <w:pPr>
              <w:spacing w:after="0" w:line="240" w:lineRule="auto"/>
              <w:rPr>
                <w:rFonts w:eastAsia="Times New Roman" w:cs="Arial"/>
                <w:sz w:val="18"/>
                <w:szCs w:val="18"/>
                <w:lang w:eastAsia="en-AU"/>
              </w:rPr>
            </w:pPr>
            <w:r>
              <w:rPr>
                <w:rFonts w:eastAsia="Times New Roman" w:cs="Arial"/>
                <w:sz w:val="18"/>
                <w:szCs w:val="18"/>
                <w:lang w:eastAsia="en-AU"/>
              </w:rPr>
              <w:t>No</w:t>
            </w:r>
          </w:p>
        </w:tc>
      </w:tr>
      <w:tr w:rsidR="00075855" w:rsidRPr="00D1184F" w14:paraId="346A7DE4" w14:textId="4EDF5F31" w:rsidTr="00055BFD">
        <w:trPr>
          <w:trHeight w:val="255"/>
          <w:tblHeader/>
        </w:trPr>
        <w:tc>
          <w:tcPr>
            <w:tcW w:w="1413" w:type="dxa"/>
            <w:tcBorders>
              <w:top w:val="single" w:sz="4" w:space="0" w:color="A6A6A6"/>
              <w:left w:val="single" w:sz="4" w:space="0" w:color="A6A6A6"/>
              <w:bottom w:val="single" w:sz="4" w:space="0" w:color="A6A6A6"/>
              <w:right w:val="single" w:sz="4" w:space="0" w:color="A6A6A6"/>
            </w:tcBorders>
            <w:shd w:val="clear" w:color="000000" w:fill="808080"/>
            <w:noWrap/>
          </w:tcPr>
          <w:p w14:paraId="7881B308" w14:textId="2595AD25" w:rsidR="00075855" w:rsidRPr="00E2784D" w:rsidRDefault="00075855" w:rsidP="00406528">
            <w:pPr>
              <w:spacing w:after="0" w:line="240" w:lineRule="auto"/>
              <w:jc w:val="center"/>
              <w:rPr>
                <w:rFonts w:eastAsia="Times New Roman" w:cs="Arial"/>
                <w:b/>
                <w:bCs/>
                <w:color w:val="FFFFFF"/>
                <w:sz w:val="18"/>
                <w:szCs w:val="18"/>
                <w:lang w:eastAsia="en-AU"/>
              </w:rPr>
            </w:pPr>
            <w:bookmarkStart w:id="2" w:name="_Hlk46338573"/>
          </w:p>
        </w:tc>
        <w:tc>
          <w:tcPr>
            <w:tcW w:w="3969" w:type="dxa"/>
            <w:tcBorders>
              <w:top w:val="single" w:sz="4" w:space="0" w:color="A6A6A6"/>
              <w:left w:val="nil"/>
              <w:bottom w:val="single" w:sz="4" w:space="0" w:color="A6A6A6"/>
              <w:right w:val="single" w:sz="4" w:space="0" w:color="A6A6A6"/>
            </w:tcBorders>
            <w:shd w:val="clear" w:color="000000" w:fill="808080"/>
            <w:noWrap/>
          </w:tcPr>
          <w:p w14:paraId="22BE2A27" w14:textId="1BB2633C" w:rsidR="00075855" w:rsidRPr="00E2784D" w:rsidRDefault="00075855" w:rsidP="00406528">
            <w:pPr>
              <w:spacing w:after="0" w:line="240" w:lineRule="auto"/>
              <w:jc w:val="center"/>
              <w:rPr>
                <w:rFonts w:eastAsia="Times New Roman" w:cs="Arial"/>
                <w:b/>
                <w:bCs/>
                <w:color w:val="FFFFFF"/>
                <w:sz w:val="18"/>
                <w:szCs w:val="18"/>
                <w:lang w:eastAsia="en-AU"/>
              </w:rPr>
            </w:pPr>
          </w:p>
        </w:tc>
        <w:tc>
          <w:tcPr>
            <w:tcW w:w="3402" w:type="dxa"/>
            <w:tcBorders>
              <w:top w:val="single" w:sz="4" w:space="0" w:color="A6A6A6"/>
              <w:left w:val="nil"/>
              <w:bottom w:val="single" w:sz="4" w:space="0" w:color="A6A6A6"/>
              <w:right w:val="single" w:sz="4" w:space="0" w:color="A6A6A6"/>
            </w:tcBorders>
            <w:shd w:val="clear" w:color="000000" w:fill="808080"/>
            <w:noWrap/>
          </w:tcPr>
          <w:p w14:paraId="7463D189" w14:textId="196D9323" w:rsidR="00075855" w:rsidRPr="00E2784D" w:rsidRDefault="00075855" w:rsidP="00406528">
            <w:pPr>
              <w:spacing w:after="0" w:line="240" w:lineRule="auto"/>
              <w:jc w:val="center"/>
              <w:rPr>
                <w:rFonts w:eastAsia="Times New Roman" w:cs="Arial"/>
                <w:b/>
                <w:bCs/>
                <w:color w:val="FFFFFF"/>
                <w:sz w:val="18"/>
                <w:szCs w:val="18"/>
                <w:lang w:eastAsia="en-AU"/>
              </w:rPr>
            </w:pPr>
          </w:p>
        </w:tc>
        <w:tc>
          <w:tcPr>
            <w:tcW w:w="1276" w:type="dxa"/>
            <w:tcBorders>
              <w:top w:val="single" w:sz="4" w:space="0" w:color="A6A6A6"/>
              <w:left w:val="nil"/>
              <w:bottom w:val="single" w:sz="4" w:space="0" w:color="A6A6A6"/>
              <w:right w:val="single" w:sz="4" w:space="0" w:color="A6A6A6"/>
            </w:tcBorders>
            <w:shd w:val="clear" w:color="000000" w:fill="808080"/>
          </w:tcPr>
          <w:p w14:paraId="6A53BAA2" w14:textId="7A0E80BC" w:rsidR="00075855" w:rsidRPr="00E2784D" w:rsidRDefault="00075855" w:rsidP="00406528">
            <w:pPr>
              <w:spacing w:after="0" w:line="240" w:lineRule="auto"/>
              <w:jc w:val="center"/>
              <w:rPr>
                <w:rFonts w:eastAsia="Times New Roman" w:cs="Arial"/>
                <w:b/>
                <w:bCs/>
                <w:color w:val="FFFFFF"/>
                <w:sz w:val="18"/>
                <w:szCs w:val="18"/>
                <w:lang w:eastAsia="en-AU"/>
              </w:rPr>
            </w:pPr>
          </w:p>
        </w:tc>
      </w:tr>
    </w:tbl>
    <w:bookmarkEnd w:id="2"/>
    <w:p w14:paraId="426322F8" w14:textId="38EE3E35" w:rsidR="00177095" w:rsidRPr="0012120E" w:rsidRDefault="00177095" w:rsidP="0012120E">
      <w:pPr>
        <w:spacing w:before="240"/>
        <w:rPr>
          <w:rFonts w:cs="Arial"/>
          <w:b/>
        </w:rPr>
      </w:pPr>
      <w:r w:rsidRPr="0012120E">
        <w:rPr>
          <w:rFonts w:cs="Arial"/>
          <w:b/>
        </w:rPr>
        <w:t>Comments received from organisations</w:t>
      </w:r>
      <w:r w:rsidR="00702539" w:rsidRPr="0012120E">
        <w:rPr>
          <w:rFonts w:cs="Arial"/>
          <w:b/>
        </w:rPr>
        <w:t xml:space="preserve">/groups/stakeholders </w:t>
      </w:r>
    </w:p>
    <w:p w14:paraId="50468FA0" w14:textId="4EEB34E5" w:rsidR="00702539" w:rsidRPr="0012120E" w:rsidRDefault="000444A8" w:rsidP="0012120E">
      <w:pPr>
        <w:spacing w:before="240"/>
        <w:rPr>
          <w:rFonts w:cs="Arial"/>
        </w:rPr>
      </w:pPr>
      <w:r w:rsidRPr="0012120E">
        <w:rPr>
          <w:rFonts w:cs="Arial"/>
        </w:rPr>
        <w:t>A submission was received from the Urban Development Institute of Australia</w:t>
      </w:r>
      <w:r w:rsidR="00B57E08" w:rsidRPr="0012120E">
        <w:rPr>
          <w:rFonts w:cs="Arial"/>
        </w:rPr>
        <w:t xml:space="preserve"> regarding the Draft Fees and Charges 2020-21 referring to the proposed increase from 0.2% to 0.25% for the Compliance and Enforcement Levy for works over $100,000</w:t>
      </w:r>
      <w:r w:rsidR="00004FC0" w:rsidRPr="0012120E">
        <w:rPr>
          <w:rFonts w:cs="Arial"/>
        </w:rPr>
        <w:t>. It was requested that Council remove the levy and return to charging the maximum Development Application fee permitted under the Environmental Planning and Assessment Regulation.</w:t>
      </w:r>
    </w:p>
    <w:p w14:paraId="3059273C" w14:textId="0A2E3F82" w:rsidR="00004FC0" w:rsidRPr="0012120E" w:rsidRDefault="00004FC0" w:rsidP="0012120E">
      <w:pPr>
        <w:spacing w:before="240"/>
        <w:rPr>
          <w:rFonts w:cs="Arial"/>
        </w:rPr>
      </w:pPr>
      <w:r w:rsidRPr="0012120E">
        <w:rPr>
          <w:rFonts w:cs="Arial"/>
        </w:rPr>
        <w:t>The response to this</w:t>
      </w:r>
      <w:r w:rsidR="008605C1" w:rsidRPr="0012120E">
        <w:rPr>
          <w:rFonts w:cs="Arial"/>
        </w:rPr>
        <w:t xml:space="preserve"> is</w:t>
      </w:r>
      <w:r w:rsidRPr="0012120E">
        <w:rPr>
          <w:rFonts w:cs="Arial"/>
        </w:rPr>
        <w:t>:</w:t>
      </w:r>
    </w:p>
    <w:p w14:paraId="5A90A56E" w14:textId="77777777" w:rsidR="008605C1" w:rsidRPr="00171DAA" w:rsidRDefault="008605C1" w:rsidP="0012120E">
      <w:pPr>
        <w:spacing w:before="240"/>
        <w:rPr>
          <w:rFonts w:cs="Arial"/>
        </w:rPr>
      </w:pPr>
      <w:r w:rsidRPr="00171DAA">
        <w:rPr>
          <w:rFonts w:cs="Arial"/>
        </w:rPr>
        <w:t xml:space="preserve">“The Compliance Levy was adopted and introduced by Council in FY19/20. The levy is proposed to be rolled over with no increase in FY20/21. Council like several other NSW councils offset the costs of performing their compliance and enforcement functions through this specific levy. The rate of the levy is consistent with the rate charged by numerous other NSW councils and is consistent with the provisions of Section 608 of the Local Government Act. </w:t>
      </w:r>
    </w:p>
    <w:p w14:paraId="521E5DC3" w14:textId="77777777" w:rsidR="008605C1" w:rsidRPr="00171DAA" w:rsidRDefault="008605C1" w:rsidP="0012120E">
      <w:pPr>
        <w:spacing w:before="240"/>
        <w:rPr>
          <w:rFonts w:cs="Arial"/>
        </w:rPr>
      </w:pPr>
      <w:r w:rsidRPr="00171DAA">
        <w:rPr>
          <w:rFonts w:cs="Arial"/>
        </w:rPr>
        <w:t xml:space="preserve">Private building certification in NSW has increased the financial burden on Council to perform its development compliance activities. Particularly during the Covid-19 pandemic the amount of compliance complaints received by Council has significantly increased. This levy facilitates Council to effectively respond to community concerns/complaints and deliver the following compliance and enforcement activities including: </w:t>
      </w:r>
    </w:p>
    <w:p w14:paraId="71FFDEAC" w14:textId="77777777" w:rsidR="008605C1" w:rsidRPr="00171DAA" w:rsidRDefault="008605C1" w:rsidP="0012120E">
      <w:pPr>
        <w:pStyle w:val="ListParagraph"/>
        <w:spacing w:before="240"/>
        <w:ind w:left="0"/>
        <w:rPr>
          <w:rFonts w:cs="Arial"/>
        </w:rPr>
      </w:pPr>
      <w:r w:rsidRPr="00171DAA">
        <w:rPr>
          <w:rFonts w:cs="Arial"/>
        </w:rPr>
        <w:t xml:space="preserve">• Development compliance </w:t>
      </w:r>
    </w:p>
    <w:p w14:paraId="000E6EB7" w14:textId="77777777" w:rsidR="008605C1" w:rsidRPr="00171DAA" w:rsidRDefault="008605C1" w:rsidP="0012120E">
      <w:pPr>
        <w:pStyle w:val="ListParagraph"/>
        <w:spacing w:before="240"/>
        <w:ind w:left="0"/>
        <w:rPr>
          <w:rFonts w:cs="Arial"/>
        </w:rPr>
      </w:pPr>
      <w:r w:rsidRPr="00171DAA">
        <w:rPr>
          <w:rFonts w:cs="Arial"/>
        </w:rPr>
        <w:lastRenderedPageBreak/>
        <w:t xml:space="preserve">• Environmental health </w:t>
      </w:r>
    </w:p>
    <w:p w14:paraId="44BA0A44" w14:textId="77777777" w:rsidR="008605C1" w:rsidRPr="00171DAA" w:rsidRDefault="008605C1" w:rsidP="0012120E">
      <w:pPr>
        <w:pStyle w:val="ListParagraph"/>
        <w:spacing w:before="240"/>
        <w:ind w:left="0"/>
        <w:rPr>
          <w:rFonts w:cs="Arial"/>
        </w:rPr>
      </w:pPr>
      <w:r w:rsidRPr="00171DAA">
        <w:rPr>
          <w:rFonts w:cs="Arial"/>
        </w:rPr>
        <w:t xml:space="preserve">• Fire safety </w:t>
      </w:r>
    </w:p>
    <w:p w14:paraId="3028BDDA" w14:textId="77777777" w:rsidR="008605C1" w:rsidRPr="00171DAA" w:rsidRDefault="008605C1" w:rsidP="0012120E">
      <w:pPr>
        <w:pStyle w:val="ListParagraph"/>
        <w:spacing w:before="240"/>
        <w:ind w:left="0"/>
        <w:rPr>
          <w:rFonts w:cs="Arial"/>
        </w:rPr>
      </w:pPr>
    </w:p>
    <w:p w14:paraId="55564653" w14:textId="5151EC5A" w:rsidR="00C47D48" w:rsidRPr="00171DAA" w:rsidRDefault="008605C1" w:rsidP="0012120E">
      <w:pPr>
        <w:pStyle w:val="ListParagraph"/>
        <w:spacing w:before="240"/>
        <w:ind w:left="0"/>
        <w:rPr>
          <w:rFonts w:cs="Arial"/>
        </w:rPr>
      </w:pPr>
      <w:r w:rsidRPr="00171DAA">
        <w:rPr>
          <w:rFonts w:cs="Arial"/>
        </w:rPr>
        <w:t>Whilst there are other avenues for cost recovery of compliance activities. The income from the levy also allows Council to implement and improve education programs for residents and businesses on council’s compliance and enforcement functions.  The levy also allows Council to focus on business improvements and governance that other cost recovery avenues do not.”</w:t>
      </w:r>
    </w:p>
    <w:p w14:paraId="4EE50D70" w14:textId="44416C3C" w:rsidR="009C70FE" w:rsidRPr="00171DAA" w:rsidRDefault="009C70FE" w:rsidP="0012120E">
      <w:pPr>
        <w:pStyle w:val="ListParagraph"/>
        <w:spacing w:before="240"/>
        <w:ind w:left="0"/>
        <w:rPr>
          <w:rFonts w:cs="Arial"/>
        </w:rPr>
      </w:pPr>
    </w:p>
    <w:p w14:paraId="262B278D" w14:textId="77777777" w:rsidR="009C70FE" w:rsidRPr="00171DAA" w:rsidRDefault="009C70FE" w:rsidP="00055BFD">
      <w:pPr>
        <w:spacing w:before="240"/>
        <w:rPr>
          <w:rFonts w:cs="Arial"/>
          <w:b/>
        </w:rPr>
      </w:pPr>
      <w:r w:rsidRPr="00171DAA">
        <w:rPr>
          <w:rFonts w:cs="Arial"/>
          <w:b/>
        </w:rPr>
        <w:t>Other responses from individuals</w:t>
      </w:r>
    </w:p>
    <w:p w14:paraId="35FD0FA5" w14:textId="518DE450" w:rsidR="00055BFD" w:rsidRPr="00055BFD" w:rsidRDefault="00055BFD" w:rsidP="004A27F7">
      <w:pPr>
        <w:pStyle w:val="ListParagraph"/>
        <w:spacing w:before="240"/>
        <w:ind w:left="0"/>
        <w:rPr>
          <w:rFonts w:cs="Arial"/>
        </w:rPr>
      </w:pPr>
      <w:r>
        <w:rPr>
          <w:rFonts w:cs="Arial"/>
        </w:rPr>
        <w:t xml:space="preserve">Two </w:t>
      </w:r>
      <w:r w:rsidR="00D03B1D">
        <w:rPr>
          <w:rFonts w:cs="Arial"/>
        </w:rPr>
        <w:t xml:space="preserve">other response were received that related to the funding of synthetic field at Leichhardt 2 oval. </w:t>
      </w:r>
      <w:r w:rsidR="00CE6911">
        <w:rPr>
          <w:rFonts w:cs="Arial"/>
        </w:rPr>
        <w:t>See the last response in the above table.</w:t>
      </w:r>
      <w:r>
        <w:rPr>
          <w:rFonts w:cs="Arial"/>
        </w:rPr>
        <w:t xml:space="preserve"> </w:t>
      </w:r>
    </w:p>
    <w:p w14:paraId="69D4BEFF" w14:textId="77777777" w:rsidR="00C47D48" w:rsidRPr="00C47D48" w:rsidRDefault="00842F84" w:rsidP="00C47D48">
      <w:pPr>
        <w:spacing w:before="240"/>
        <w:rPr>
          <w:rFonts w:cs="Arial"/>
        </w:rPr>
      </w:pPr>
      <w:r w:rsidRPr="00A938F3">
        <w:rPr>
          <w:rFonts w:cs="Arial"/>
          <w:noProof/>
        </w:rPr>
        <mc:AlternateContent>
          <mc:Choice Requires="wps">
            <w:drawing>
              <wp:inline distT="0" distB="0" distL="0" distR="0" wp14:anchorId="50EFC377" wp14:editId="460056E1">
                <wp:extent cx="5731510" cy="2257425"/>
                <wp:effectExtent l="0" t="0" r="2159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57425"/>
                        </a:xfrm>
                        <a:prstGeom prst="rect">
                          <a:avLst/>
                        </a:prstGeom>
                        <a:solidFill>
                          <a:schemeClr val="accent1">
                            <a:lumMod val="20000"/>
                            <a:lumOff val="80000"/>
                          </a:schemeClr>
                        </a:solidFill>
                        <a:ln w="9525">
                          <a:solidFill>
                            <a:srgbClr val="000000"/>
                          </a:solidFill>
                          <a:miter lim="800000"/>
                          <a:headEnd/>
                          <a:tailEnd/>
                        </a:ln>
                      </wps:spPr>
                      <wps:txbx>
                        <w:txbxContent>
                          <w:p w14:paraId="55A43829" w14:textId="5E4DF681" w:rsidR="00842F84" w:rsidRPr="00A20CFB" w:rsidRDefault="00051208" w:rsidP="00A20CFB">
                            <w:pPr>
                              <w:pStyle w:val="Heading1"/>
                            </w:pPr>
                            <w:r>
                              <w:t>Conclusion</w:t>
                            </w:r>
                          </w:p>
                          <w:p w14:paraId="0BFA12FF" w14:textId="0249F30D" w:rsidR="00754256" w:rsidRDefault="00842F84" w:rsidP="00051208">
                            <w:pPr>
                              <w:spacing w:before="240"/>
                              <w:rPr>
                                <w:rFonts w:cs="Arial"/>
                              </w:rPr>
                            </w:pPr>
                            <w:r w:rsidRPr="00842F84">
                              <w:rPr>
                                <w:rFonts w:cs="Arial"/>
                              </w:rPr>
                              <w:t>The</w:t>
                            </w:r>
                            <w:r w:rsidR="00051208">
                              <w:rPr>
                                <w:rFonts w:cs="Arial"/>
                              </w:rPr>
                              <w:t xml:space="preserve">re are no changes to the </w:t>
                            </w:r>
                            <w:r w:rsidR="00754256">
                              <w:rPr>
                                <w:rFonts w:cs="Arial"/>
                              </w:rPr>
                              <w:t xml:space="preserve">key strategic documents as a result of submissions received. </w:t>
                            </w:r>
                          </w:p>
                          <w:p w14:paraId="4FCBA88E" w14:textId="13B783DA" w:rsidR="00842F84" w:rsidRDefault="00754256" w:rsidP="00051208">
                            <w:pPr>
                              <w:spacing w:before="240"/>
                              <w:rPr>
                                <w:rFonts w:cs="Arial"/>
                              </w:rPr>
                            </w:pPr>
                            <w:r>
                              <w:rPr>
                                <w:rFonts w:cs="Arial"/>
                              </w:rPr>
                              <w:t>It is therefore recommended that the Report go to Council with mention of minor grammatical rewording and correction of spelling mistakes.</w:t>
                            </w:r>
                          </w:p>
                          <w:p w14:paraId="0DACC060" w14:textId="77777777" w:rsidR="00CD507A" w:rsidRPr="00CD507A" w:rsidRDefault="00CD507A" w:rsidP="00CD507A">
                            <w:pPr>
                              <w:spacing w:before="240"/>
                              <w:rPr>
                                <w:rFonts w:cs="Arial"/>
                              </w:rPr>
                            </w:pPr>
                          </w:p>
                        </w:txbxContent>
                      </wps:txbx>
                      <wps:bodyPr rot="0" vert="horz" wrap="square" lIns="91440" tIns="45720" rIns="91440" bIns="45720" anchor="t" anchorCtr="0">
                        <a:noAutofit/>
                      </wps:bodyPr>
                    </wps:wsp>
                  </a:graphicData>
                </a:graphic>
              </wp:inline>
            </w:drawing>
          </mc:Choice>
          <mc:Fallback>
            <w:pict>
              <v:shape w14:anchorId="50EFC377" id="_x0000_s1027" type="#_x0000_t202" style="width:451.3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" fillcolor="#d9e2f3 [660]">
                <v:textbox>
                  <w:txbxContent>
                    <w:p w14:paraId="55A43829" w14:textId="5E4DF681" w:rsidR="00842F84" w:rsidRPr="00A20CFB" w:rsidRDefault="00051208" w:rsidP="00A20CFB">
                      <w:pPr>
                        <w:pStyle w:val="Heading1"/>
                      </w:pPr>
                      <w:r>
                        <w:t>Conclusion</w:t>
                      </w:r>
                    </w:p>
                    <w:p w14:paraId="0BFA12FF" w14:textId="0249F30D" w:rsidR="00754256" w:rsidRDefault="00842F84" w:rsidP="00051208">
                      <w:pPr>
                        <w:spacing w:before="240"/>
                        <w:rPr>
                          <w:rFonts w:cs="Arial"/>
                        </w:rPr>
                      </w:pPr>
                      <w:r w:rsidRPr="00842F84">
                        <w:rPr>
                          <w:rFonts w:cs="Arial"/>
                        </w:rPr>
                        <w:t>The</w:t>
                      </w:r>
                      <w:r w:rsidR="00051208">
                        <w:rPr>
                          <w:rFonts w:cs="Arial"/>
                        </w:rPr>
                        <w:t xml:space="preserve">re are no changes to the </w:t>
                      </w:r>
                      <w:r w:rsidR="00754256">
                        <w:rPr>
                          <w:rFonts w:cs="Arial"/>
                        </w:rPr>
                        <w:t xml:space="preserve">key strategic documents as a result of submissions received. </w:t>
                      </w:r>
                    </w:p>
                    <w:p w14:paraId="4FCBA88E" w14:textId="13B783DA" w:rsidR="00842F84" w:rsidRDefault="00754256" w:rsidP="00051208">
                      <w:pPr>
                        <w:spacing w:before="240"/>
                        <w:rPr>
                          <w:rFonts w:cs="Arial"/>
                        </w:rPr>
                      </w:pPr>
                      <w:r>
                        <w:rPr>
                          <w:rFonts w:cs="Arial"/>
                        </w:rPr>
                        <w:t>It is therefore recommended that the Report go to Council with mention of minor grammatical rewording and correction of spelling mistakes.</w:t>
                      </w:r>
                    </w:p>
                    <w:p w14:paraId="0DACC060" w14:textId="77777777" w:rsidR="00CD507A" w:rsidRPr="00CD507A" w:rsidRDefault="00CD507A" w:rsidP="00CD507A">
                      <w:pPr>
                        <w:spacing w:before="240"/>
                        <w:rPr>
                          <w:rFonts w:cs="Arial"/>
                        </w:rPr>
                      </w:pPr>
                    </w:p>
                  </w:txbxContent>
                </v:textbox>
                <w10:anchorlock/>
              </v:shape>
            </w:pict>
          </mc:Fallback>
        </mc:AlternateContent>
      </w:r>
    </w:p>
    <w:sectPr w:rsidR="00C47D48" w:rsidRPr="00C47D48" w:rsidSect="00D1184F">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enata Krchnakova" w:date="2020-07-22T10:00:00Z" w:initials="RK">
    <w:p w14:paraId="79A159E4" w14:textId="0599314D" w:rsidR="00E53380" w:rsidRDefault="00E53380">
      <w:pPr>
        <w:pStyle w:val="CommentText"/>
      </w:pPr>
      <w:r>
        <w:rPr>
          <w:rStyle w:val="CommentReference"/>
        </w:rPr>
        <w:annotationRef/>
      </w:r>
      <w:r>
        <w:t>Was it 12 or 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A159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A159E4" w16cid:durableId="22C28C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A9D0E" w14:textId="77777777" w:rsidR="00B44BB5" w:rsidRDefault="00B44BB5" w:rsidP="00B44BB5">
      <w:pPr>
        <w:spacing w:after="0" w:line="240" w:lineRule="auto"/>
      </w:pPr>
      <w:r>
        <w:separator/>
      </w:r>
    </w:p>
  </w:endnote>
  <w:endnote w:type="continuationSeparator" w:id="0">
    <w:p w14:paraId="2A896479" w14:textId="77777777" w:rsidR="00B44BB5" w:rsidRDefault="00B44BB5" w:rsidP="00B4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05F9E236"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67E205" w14:textId="77777777" w:rsidR="00B44BB5" w:rsidRDefault="00B44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5F908129"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B7F50F" w14:textId="77777777" w:rsidR="00B44BB5" w:rsidRDefault="00B4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6AE98" w14:textId="77777777" w:rsidR="00B44BB5" w:rsidRDefault="00B44BB5" w:rsidP="00B44BB5">
      <w:pPr>
        <w:spacing w:after="0" w:line="240" w:lineRule="auto"/>
      </w:pPr>
      <w:r>
        <w:separator/>
      </w:r>
    </w:p>
  </w:footnote>
  <w:footnote w:type="continuationSeparator" w:id="0">
    <w:p w14:paraId="41EEAFA1" w14:textId="77777777" w:rsidR="00B44BB5" w:rsidRDefault="00B44BB5" w:rsidP="00B4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B2F33" w14:textId="77777777" w:rsidR="00B44BB5" w:rsidRDefault="00B44BB5">
    <w:pPr>
      <w:pStyle w:val="Header"/>
    </w:pPr>
    <w:r>
      <w:rPr>
        <w:noProof/>
      </w:rPr>
      <w:drawing>
        <wp:inline distT="0" distB="0" distL="0" distR="0" wp14:anchorId="1D254ACF" wp14:editId="4FAB036D">
          <wp:extent cx="5731510" cy="70756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graphic-long-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05327252"/>
    <w:multiLevelType w:val="hybridMultilevel"/>
    <w:tmpl w:val="77B62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0E087B"/>
    <w:multiLevelType w:val="hybridMultilevel"/>
    <w:tmpl w:val="6098F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833A79"/>
    <w:multiLevelType w:val="hybridMultilevel"/>
    <w:tmpl w:val="ECD077D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D402AF"/>
    <w:multiLevelType w:val="hybridMultilevel"/>
    <w:tmpl w:val="4F46B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10"/>
  </w:num>
  <w:num w:numId="7">
    <w:abstractNumId w:val="2"/>
  </w:num>
  <w:num w:numId="8">
    <w:abstractNumId w:val="9"/>
  </w:num>
  <w:num w:numId="9">
    <w:abstractNumId w:val="8"/>
  </w:num>
  <w:num w:numId="10">
    <w:abstractNumId w:val="1"/>
  </w:num>
  <w:num w:numId="11">
    <w:abstractNumId w:val="11"/>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Krchnakova">
    <w15:presenceInfo w15:providerId="AD" w15:userId="S::renata.krchnakova@innerwest.nsw.gov.au::bd14b198-a6f5-4e99-b70b-e5683ae4c3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04FC0"/>
    <w:rsid w:val="00015A24"/>
    <w:rsid w:val="00026AEF"/>
    <w:rsid w:val="000444A8"/>
    <w:rsid w:val="00045AD9"/>
    <w:rsid w:val="00051208"/>
    <w:rsid w:val="00054834"/>
    <w:rsid w:val="00055BFD"/>
    <w:rsid w:val="000735D4"/>
    <w:rsid w:val="00075855"/>
    <w:rsid w:val="00086F2E"/>
    <w:rsid w:val="00094316"/>
    <w:rsid w:val="000C44F3"/>
    <w:rsid w:val="0012120E"/>
    <w:rsid w:val="00144043"/>
    <w:rsid w:val="00171DAA"/>
    <w:rsid w:val="00177095"/>
    <w:rsid w:val="001A2FD5"/>
    <w:rsid w:val="001C2A93"/>
    <w:rsid w:val="001C6E5F"/>
    <w:rsid w:val="00244F74"/>
    <w:rsid w:val="00253A10"/>
    <w:rsid w:val="002F48BB"/>
    <w:rsid w:val="00306263"/>
    <w:rsid w:val="00327B37"/>
    <w:rsid w:val="00354EB9"/>
    <w:rsid w:val="00384742"/>
    <w:rsid w:val="00406528"/>
    <w:rsid w:val="004511C6"/>
    <w:rsid w:val="004623B1"/>
    <w:rsid w:val="00473883"/>
    <w:rsid w:val="004908D2"/>
    <w:rsid w:val="004A27F7"/>
    <w:rsid w:val="004C735E"/>
    <w:rsid w:val="00545DF2"/>
    <w:rsid w:val="00577B00"/>
    <w:rsid w:val="00582881"/>
    <w:rsid w:val="00587DDA"/>
    <w:rsid w:val="005A55A4"/>
    <w:rsid w:val="005A647C"/>
    <w:rsid w:val="005B426F"/>
    <w:rsid w:val="00602D3B"/>
    <w:rsid w:val="00633EF5"/>
    <w:rsid w:val="00633FD4"/>
    <w:rsid w:val="006F3EC2"/>
    <w:rsid w:val="00702539"/>
    <w:rsid w:val="00730C5F"/>
    <w:rsid w:val="007435D0"/>
    <w:rsid w:val="00754256"/>
    <w:rsid w:val="00767FAA"/>
    <w:rsid w:val="00791997"/>
    <w:rsid w:val="007A7ACB"/>
    <w:rsid w:val="007B4584"/>
    <w:rsid w:val="008225C5"/>
    <w:rsid w:val="008377E4"/>
    <w:rsid w:val="00842F84"/>
    <w:rsid w:val="008605C1"/>
    <w:rsid w:val="00866BF7"/>
    <w:rsid w:val="00867E29"/>
    <w:rsid w:val="008759AF"/>
    <w:rsid w:val="008C27F2"/>
    <w:rsid w:val="0090047C"/>
    <w:rsid w:val="00941A3A"/>
    <w:rsid w:val="00945ED5"/>
    <w:rsid w:val="00946440"/>
    <w:rsid w:val="009A55A6"/>
    <w:rsid w:val="009C1BA9"/>
    <w:rsid w:val="009C70FE"/>
    <w:rsid w:val="009E69E8"/>
    <w:rsid w:val="00A05208"/>
    <w:rsid w:val="00A20CFB"/>
    <w:rsid w:val="00A76561"/>
    <w:rsid w:val="00A83599"/>
    <w:rsid w:val="00A938F3"/>
    <w:rsid w:val="00AB25D1"/>
    <w:rsid w:val="00AB3DC0"/>
    <w:rsid w:val="00AC1714"/>
    <w:rsid w:val="00AC2FE6"/>
    <w:rsid w:val="00AD0CDD"/>
    <w:rsid w:val="00AE2B54"/>
    <w:rsid w:val="00B424A8"/>
    <w:rsid w:val="00B44BB5"/>
    <w:rsid w:val="00B57E08"/>
    <w:rsid w:val="00B82F19"/>
    <w:rsid w:val="00BE3F9E"/>
    <w:rsid w:val="00C10107"/>
    <w:rsid w:val="00C17ED8"/>
    <w:rsid w:val="00C47D48"/>
    <w:rsid w:val="00CC52F8"/>
    <w:rsid w:val="00CD507A"/>
    <w:rsid w:val="00CE6911"/>
    <w:rsid w:val="00CF100C"/>
    <w:rsid w:val="00D03B1D"/>
    <w:rsid w:val="00D0727D"/>
    <w:rsid w:val="00D0742D"/>
    <w:rsid w:val="00D1184F"/>
    <w:rsid w:val="00D36B48"/>
    <w:rsid w:val="00D759E9"/>
    <w:rsid w:val="00DF1E21"/>
    <w:rsid w:val="00E2784D"/>
    <w:rsid w:val="00E52B66"/>
    <w:rsid w:val="00E53380"/>
    <w:rsid w:val="00E562CB"/>
    <w:rsid w:val="00E72D02"/>
    <w:rsid w:val="00E77205"/>
    <w:rsid w:val="00E94786"/>
    <w:rsid w:val="00E96DF0"/>
    <w:rsid w:val="00EA6D75"/>
    <w:rsid w:val="00EB737E"/>
    <w:rsid w:val="00EC2D20"/>
    <w:rsid w:val="00ED14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E32F7D"/>
  <w15:chartTrackingRefBased/>
  <w15:docId w15:val="{2A912F43-46BC-4119-B535-6E41D847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52F8"/>
    <w:rPr>
      <w:rFonts w:ascii="Arial" w:hAnsi="Arial"/>
    </w:rPr>
  </w:style>
  <w:style w:type="paragraph" w:styleId="Heading1">
    <w:name w:val="heading 1"/>
    <w:basedOn w:val="Normal"/>
    <w:next w:val="Normal"/>
    <w:link w:val="Heading1Char"/>
    <w:uiPriority w:val="9"/>
    <w:qFormat/>
    <w:rsid w:val="00D0727D"/>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D0727D"/>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1C2A93"/>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D0727D"/>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D0727D"/>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C2A93"/>
    <w:rPr>
      <w:rFonts w:ascii="Arial" w:eastAsiaTheme="majorEastAsia" w:hAnsi="Arial" w:cstheme="majorBidi"/>
      <w:sz w:val="24"/>
      <w:szCs w:val="24"/>
    </w:rPr>
  </w:style>
  <w:style w:type="character" w:styleId="Emphasis">
    <w:name w:val="Emphasis"/>
    <w:basedOn w:val="DefaultParagraphFont"/>
    <w:uiPriority w:val="20"/>
    <w:qFormat/>
    <w:rsid w:val="00DF1E21"/>
    <w:rPr>
      <w:i/>
      <w:iCs/>
    </w:rPr>
  </w:style>
  <w:style w:type="paragraph" w:styleId="NoSpacing">
    <w:name w:val="No Spacing"/>
    <w:uiPriority w:val="1"/>
    <w:qFormat/>
    <w:rsid w:val="00945ED5"/>
    <w:pPr>
      <w:spacing w:after="0" w:line="240" w:lineRule="auto"/>
    </w:pPr>
    <w:rPr>
      <w:rFonts w:ascii="Arial" w:hAnsi="Arial"/>
    </w:rPr>
  </w:style>
  <w:style w:type="character" w:styleId="CommentReference">
    <w:name w:val="annotation reference"/>
    <w:basedOn w:val="DefaultParagraphFont"/>
    <w:uiPriority w:val="99"/>
    <w:semiHidden/>
    <w:unhideWhenUsed/>
    <w:rsid w:val="00E53380"/>
    <w:rPr>
      <w:sz w:val="16"/>
      <w:szCs w:val="16"/>
    </w:rPr>
  </w:style>
  <w:style w:type="paragraph" w:styleId="CommentText">
    <w:name w:val="annotation text"/>
    <w:basedOn w:val="Normal"/>
    <w:link w:val="CommentTextChar"/>
    <w:uiPriority w:val="99"/>
    <w:semiHidden/>
    <w:unhideWhenUsed/>
    <w:rsid w:val="00E53380"/>
    <w:pPr>
      <w:spacing w:line="240" w:lineRule="auto"/>
    </w:pPr>
    <w:rPr>
      <w:sz w:val="20"/>
      <w:szCs w:val="20"/>
    </w:rPr>
  </w:style>
  <w:style w:type="character" w:customStyle="1" w:styleId="CommentTextChar">
    <w:name w:val="Comment Text Char"/>
    <w:basedOn w:val="DefaultParagraphFont"/>
    <w:link w:val="CommentText"/>
    <w:uiPriority w:val="99"/>
    <w:semiHidden/>
    <w:rsid w:val="00E533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53380"/>
    <w:rPr>
      <w:b/>
      <w:bCs/>
    </w:rPr>
  </w:style>
  <w:style w:type="character" w:customStyle="1" w:styleId="CommentSubjectChar">
    <w:name w:val="Comment Subject Char"/>
    <w:basedOn w:val="CommentTextChar"/>
    <w:link w:val="CommentSubject"/>
    <w:uiPriority w:val="99"/>
    <w:semiHidden/>
    <w:rsid w:val="00E53380"/>
    <w:rPr>
      <w:rFonts w:ascii="Arial" w:hAnsi="Arial"/>
      <w:b/>
      <w:bCs/>
      <w:sz w:val="20"/>
      <w:szCs w:val="20"/>
    </w:rPr>
  </w:style>
  <w:style w:type="character" w:styleId="Hyperlink">
    <w:name w:val="Hyperlink"/>
    <w:basedOn w:val="DefaultParagraphFont"/>
    <w:uiPriority w:val="99"/>
    <w:semiHidden/>
    <w:unhideWhenUsed/>
    <w:rsid w:val="00E53380"/>
    <w:rPr>
      <w:color w:val="0000FF"/>
      <w:u w:val="single"/>
    </w:rPr>
  </w:style>
  <w:style w:type="paragraph" w:customStyle="1" w:styleId="Default">
    <w:name w:val="Default"/>
    <w:rsid w:val="00055BF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8676">
      <w:bodyDiv w:val="1"/>
      <w:marLeft w:val="0"/>
      <w:marRight w:val="0"/>
      <w:marTop w:val="0"/>
      <w:marBottom w:val="0"/>
      <w:divBdr>
        <w:top w:val="none" w:sz="0" w:space="0" w:color="auto"/>
        <w:left w:val="none" w:sz="0" w:space="0" w:color="auto"/>
        <w:bottom w:val="none" w:sz="0" w:space="0" w:color="auto"/>
        <w:right w:val="none" w:sz="0" w:space="0" w:color="auto"/>
      </w:divBdr>
    </w:div>
    <w:div w:id="940181921">
      <w:bodyDiv w:val="1"/>
      <w:marLeft w:val="0"/>
      <w:marRight w:val="0"/>
      <w:marTop w:val="0"/>
      <w:marBottom w:val="0"/>
      <w:divBdr>
        <w:top w:val="none" w:sz="0" w:space="0" w:color="auto"/>
        <w:left w:val="none" w:sz="0" w:space="0" w:color="auto"/>
        <w:bottom w:val="none" w:sz="0" w:space="0" w:color="auto"/>
        <w:right w:val="none" w:sz="0" w:space="0" w:color="auto"/>
      </w:divBdr>
    </w:div>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rsay.innerwest.nsw.gov.au/council-strategic-documents-2020-20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42B3D4F361E748A04EB2CB3014E28F" ma:contentTypeVersion="12" ma:contentTypeDescription="Create a new document." ma:contentTypeScope="" ma:versionID="9ef82bb8935e287d43c956918e5cc140">
  <xsd:schema xmlns:xsd="http://www.w3.org/2001/XMLSchema" xmlns:xs="http://www.w3.org/2001/XMLSchema" xmlns:p="http://schemas.microsoft.com/office/2006/metadata/properties" xmlns:ns3="dae05581-2671-43ed-84bc-0d56fd6baf96" xmlns:ns4="0391c095-9da0-4c8a-a5e6-4e781f3c1a5b" targetNamespace="http://schemas.microsoft.com/office/2006/metadata/properties" ma:root="true" ma:fieldsID="ac0120dd0fa0b3d13e2377920c4d56be" ns3:_="" ns4:_="">
    <xsd:import namespace="dae05581-2671-43ed-84bc-0d56fd6baf96"/>
    <xsd:import namespace="0391c095-9da0-4c8a-a5e6-4e781f3c1a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05581-2671-43ed-84bc-0d56fd6ba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91c095-9da0-4c8a-a5e6-4e781f3c1a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0AFB6-3971-442E-8B67-7E03EBDF9A4C}">
  <ds:schemaRefs>
    <ds:schemaRef ds:uri="http://schemas.microsoft.com/sharepoint/v3/contenttype/forms"/>
  </ds:schemaRefs>
</ds:datastoreItem>
</file>

<file path=customXml/itemProps2.xml><?xml version="1.0" encoding="utf-8"?>
<ds:datastoreItem xmlns:ds="http://schemas.openxmlformats.org/officeDocument/2006/customXml" ds:itemID="{8DEAED3B-EA11-4503-A8B9-48FB47F2BBD7}">
  <ds:schemaRef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391c095-9da0-4c8a-a5e6-4e781f3c1a5b"/>
    <ds:schemaRef ds:uri="dae05581-2671-43ed-84bc-0d56fd6baf96"/>
    <ds:schemaRef ds:uri="http://www.w3.org/XML/1998/namespace"/>
    <ds:schemaRef ds:uri="http://purl.org/dc/dcmitype/"/>
  </ds:schemaRefs>
</ds:datastoreItem>
</file>

<file path=customXml/itemProps3.xml><?xml version="1.0" encoding="utf-8"?>
<ds:datastoreItem xmlns:ds="http://schemas.openxmlformats.org/officeDocument/2006/customXml" ds:itemID="{6B9A536F-4743-46B0-9190-AE98C14EA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05581-2671-43ed-84bc-0d56fd6baf96"/>
    <ds:schemaRef ds:uri="0391c095-9da0-4c8a-a5e6-4e781f3c1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F4BE0D-9631-4FDA-8A3F-C5838542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Renata Krchnakova</cp:lastModifiedBy>
  <cp:revision>4</cp:revision>
  <cp:lastPrinted>2019-07-19T00:34:00Z</cp:lastPrinted>
  <dcterms:created xsi:type="dcterms:W3CDTF">2020-07-26T22:23:00Z</dcterms:created>
  <dcterms:modified xsi:type="dcterms:W3CDTF">2020-07-26T22:25:00Z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0x010100B942B3D4F361E748A04EB2CB3014E28F</vt:lpwstr>
  </property>
</Properties>
</file>