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6A13B" w14:textId="77777777" w:rsidR="00425C3E" w:rsidRDefault="00425C3E" w:rsidP="00425C3E">
      <w:pPr>
        <w:pStyle w:val="Heading1"/>
        <w:rPr>
          <w:rFonts w:ascii="Arial" w:hAnsi="Arial" w:cs="Arial"/>
          <w:b/>
          <w:color w:val="auto"/>
          <w:sz w:val="28"/>
          <w:szCs w:val="28"/>
        </w:rPr>
      </w:pPr>
    </w:p>
    <w:p w14:paraId="1811DB73" w14:textId="77777777" w:rsidR="00425C3E" w:rsidRPr="00425C3E" w:rsidRDefault="00425C3E" w:rsidP="00425C3E">
      <w:pPr>
        <w:keepNext/>
        <w:keepLines/>
        <w:spacing w:before="240" w:after="0"/>
        <w:rPr>
          <w:rFonts w:eastAsia="Calibri Light" w:cstheme="minorHAnsi"/>
          <w:color w:val="2F5496"/>
          <w:sz w:val="52"/>
          <w:szCs w:val="52"/>
          <w:lang w:eastAsia="en-AU"/>
        </w:rPr>
      </w:pPr>
      <w:r w:rsidRPr="00425C3E">
        <w:rPr>
          <w:rFonts w:eastAsia="Calibri Light" w:cstheme="minorHAnsi"/>
          <w:color w:val="2F5496"/>
          <w:sz w:val="52"/>
          <w:szCs w:val="52"/>
          <w:lang w:eastAsia="en-AU"/>
        </w:rPr>
        <w:t>Engagement outcomes report</w:t>
      </w:r>
    </w:p>
    <w:p w14:paraId="01163338" w14:textId="1CB2ED9D" w:rsidR="00376A44" w:rsidRDefault="001C47D9" w:rsidP="00767FAA">
      <w:pPr>
        <w:pStyle w:val="Heading1"/>
        <w:rPr>
          <w:rFonts w:ascii="Arial" w:hAnsi="Arial" w:cs="Arial"/>
          <w:b/>
          <w:color w:val="auto"/>
          <w:sz w:val="28"/>
          <w:szCs w:val="28"/>
        </w:rPr>
      </w:pPr>
      <w:r>
        <w:rPr>
          <w:rFonts w:ascii="Arial" w:hAnsi="Arial" w:cs="Arial"/>
          <w:b/>
          <w:color w:val="auto"/>
          <w:sz w:val="28"/>
          <w:szCs w:val="28"/>
        </w:rPr>
        <w:t xml:space="preserve">Precinct 75, St Peters Voluntary Planning Agreement </w:t>
      </w:r>
      <w:r w:rsidR="00376A44">
        <w:rPr>
          <w:rFonts w:ascii="Arial" w:hAnsi="Arial" w:cs="Arial"/>
          <w:b/>
          <w:color w:val="auto"/>
          <w:sz w:val="28"/>
          <w:szCs w:val="28"/>
        </w:rPr>
        <w:t>public exhibition</w:t>
      </w:r>
    </w:p>
    <w:p w14:paraId="17526A4B" w14:textId="77777777" w:rsidR="001C47D9" w:rsidRPr="001C47D9" w:rsidRDefault="001C47D9" w:rsidP="001C47D9"/>
    <w:p w14:paraId="6E369D19" w14:textId="4FC472F2" w:rsidR="00376A44" w:rsidRPr="00376A44" w:rsidRDefault="001C47D9" w:rsidP="001C068C">
      <w:pPr>
        <w:jc w:val="center"/>
      </w:pPr>
      <w:r>
        <w:rPr>
          <w:noProof/>
        </w:rPr>
        <w:drawing>
          <wp:inline distT="0" distB="0" distL="0" distR="0" wp14:anchorId="20525E59" wp14:editId="706F3B8B">
            <wp:extent cx="400050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inline>
        </w:drawing>
      </w:r>
    </w:p>
    <w:p w14:paraId="28FCFC8B" w14:textId="77777777" w:rsidR="001C068C" w:rsidRDefault="001C068C">
      <w:pPr>
        <w:rPr>
          <w:rFonts w:ascii="Arial" w:hAnsi="Arial" w:cs="Arial"/>
          <w:b/>
          <w:sz w:val="28"/>
          <w:szCs w:val="28"/>
        </w:rPr>
      </w:pPr>
      <w:r>
        <w:rPr>
          <w:rFonts w:ascii="Arial" w:hAnsi="Arial" w:cs="Arial"/>
          <w:b/>
          <w:sz w:val="28"/>
          <w:szCs w:val="28"/>
        </w:rPr>
        <w:br w:type="page"/>
      </w:r>
    </w:p>
    <w:p w14:paraId="301F840B" w14:textId="45F37C86" w:rsidR="000C696B" w:rsidRPr="00C31062" w:rsidRDefault="00A05208" w:rsidP="00C31062">
      <w:pPr>
        <w:rPr>
          <w:rFonts w:ascii="Arial" w:eastAsiaTheme="majorEastAsia" w:hAnsi="Arial" w:cs="Arial"/>
          <w:b/>
          <w:sz w:val="28"/>
          <w:szCs w:val="28"/>
        </w:rPr>
      </w:pPr>
      <w:r w:rsidRPr="00C275C8">
        <w:rPr>
          <w:rFonts w:ascii="Arial" w:hAnsi="Arial" w:cs="Arial"/>
          <w:b/>
          <w:sz w:val="28"/>
          <w:szCs w:val="28"/>
        </w:rPr>
        <w:lastRenderedPageBreak/>
        <w:t>Summary</w:t>
      </w:r>
    </w:p>
    <w:p w14:paraId="3AC96B9A" w14:textId="3053CC2B" w:rsidR="00797D3E" w:rsidRPr="00797D3E" w:rsidRDefault="00797D3E" w:rsidP="00797D3E">
      <w:pPr>
        <w:spacing w:after="240"/>
        <w:jc w:val="both"/>
        <w:rPr>
          <w:rFonts w:cstheme="minorHAnsi"/>
        </w:rPr>
      </w:pPr>
      <w:r w:rsidRPr="00797D3E">
        <w:rPr>
          <w:rFonts w:cstheme="minorHAnsi"/>
        </w:rPr>
        <w:t xml:space="preserve">The </w:t>
      </w:r>
      <w:r w:rsidRPr="00797D3E">
        <w:rPr>
          <w:rFonts w:cstheme="minorHAnsi"/>
          <w:bCs/>
        </w:rPr>
        <w:t>Voluntary Planning Agreement</w:t>
      </w:r>
      <w:r w:rsidR="004D3F03">
        <w:rPr>
          <w:rFonts w:cstheme="minorHAnsi"/>
          <w:bCs/>
        </w:rPr>
        <w:t xml:space="preserve"> (VPA)</w:t>
      </w:r>
      <w:r w:rsidRPr="00797D3E">
        <w:rPr>
          <w:rFonts w:cstheme="minorHAnsi"/>
          <w:bCs/>
        </w:rPr>
        <w:t xml:space="preserve"> </w:t>
      </w:r>
      <w:r w:rsidRPr="00797D3E">
        <w:rPr>
          <w:rFonts w:cstheme="minorHAnsi"/>
        </w:rPr>
        <w:t>was publicly exhibited for 28 days from 2</w:t>
      </w:r>
      <w:r w:rsidR="00194104">
        <w:rPr>
          <w:rFonts w:cstheme="minorHAnsi"/>
        </w:rPr>
        <w:t>2</w:t>
      </w:r>
      <w:r w:rsidRPr="00797D3E">
        <w:rPr>
          <w:rFonts w:cstheme="minorHAnsi"/>
        </w:rPr>
        <w:t xml:space="preserve"> May to 21 June 2020</w:t>
      </w:r>
      <w:r w:rsidR="00132D69">
        <w:rPr>
          <w:rFonts w:cstheme="minorHAnsi"/>
        </w:rPr>
        <w:t xml:space="preserve"> on Your Say Inner West</w:t>
      </w:r>
      <w:r w:rsidRPr="00797D3E">
        <w:rPr>
          <w:rFonts w:cstheme="minorHAnsi"/>
        </w:rPr>
        <w:t>. This public exhibition was undertaken in accordance with Council resolution</w:t>
      </w:r>
      <w:r w:rsidR="009C5B50">
        <w:rPr>
          <w:rFonts w:cstheme="minorHAnsi"/>
        </w:rPr>
        <w:t>.</w:t>
      </w:r>
      <w:r w:rsidR="002E0EE2">
        <w:rPr>
          <w:rFonts w:cstheme="minorHAnsi"/>
        </w:rPr>
        <w:t xml:space="preserve"> For more information read </w:t>
      </w:r>
      <w:hyperlink r:id="rId11" w:history="1">
        <w:r w:rsidR="002E0EE2" w:rsidRPr="002E0EE2">
          <w:rPr>
            <w:rStyle w:val="Hyperlink"/>
            <w:rFonts w:cstheme="minorHAnsi"/>
          </w:rPr>
          <w:t>meeting minutes (item 11)</w:t>
        </w:r>
      </w:hyperlink>
      <w:r w:rsidR="002E0EE2">
        <w:rPr>
          <w:rFonts w:cstheme="minorHAnsi"/>
        </w:rPr>
        <w:t>.</w:t>
      </w:r>
    </w:p>
    <w:p w14:paraId="5C31D6D3" w14:textId="06FB6DDB" w:rsidR="00797D3E" w:rsidRPr="00797D3E" w:rsidRDefault="00797D3E" w:rsidP="00797D3E">
      <w:pPr>
        <w:spacing w:after="240"/>
        <w:jc w:val="both"/>
        <w:rPr>
          <w:rFonts w:cstheme="minorHAnsi"/>
        </w:rPr>
      </w:pPr>
      <w:r w:rsidRPr="00705126">
        <w:rPr>
          <w:rFonts w:cstheme="minorHAnsi"/>
        </w:rPr>
        <w:t xml:space="preserve">A total of </w:t>
      </w:r>
      <w:r w:rsidR="00DE0E71" w:rsidRPr="00705126">
        <w:rPr>
          <w:rFonts w:cstheme="minorHAnsi"/>
        </w:rPr>
        <w:t xml:space="preserve">88 </w:t>
      </w:r>
      <w:r w:rsidRPr="00705126">
        <w:rPr>
          <w:rFonts w:cstheme="minorHAnsi"/>
        </w:rPr>
        <w:t xml:space="preserve">submissions were received </w:t>
      </w:r>
      <w:r w:rsidR="00132D69" w:rsidRPr="00705126">
        <w:rPr>
          <w:rFonts w:cstheme="minorHAnsi"/>
        </w:rPr>
        <w:t>during the public exhibition period. T</w:t>
      </w:r>
      <w:r w:rsidRPr="00705126">
        <w:rPr>
          <w:rFonts w:cstheme="minorHAnsi"/>
        </w:rPr>
        <w:t xml:space="preserve">otal of </w:t>
      </w:r>
      <w:r w:rsidR="00142F74" w:rsidRPr="00705126">
        <w:rPr>
          <w:rFonts w:cstheme="minorHAnsi"/>
        </w:rPr>
        <w:t>2</w:t>
      </w:r>
      <w:r w:rsidR="0093153C" w:rsidRPr="00705126">
        <w:rPr>
          <w:rFonts w:cstheme="minorHAnsi"/>
        </w:rPr>
        <w:t>5</w:t>
      </w:r>
      <w:r w:rsidRPr="00705126">
        <w:rPr>
          <w:rFonts w:cstheme="minorHAnsi"/>
        </w:rPr>
        <w:t xml:space="preserve"> related to the VPA</w:t>
      </w:r>
      <w:r w:rsidR="00132D69" w:rsidRPr="00705126">
        <w:rPr>
          <w:rFonts w:cstheme="minorHAnsi"/>
        </w:rPr>
        <w:t xml:space="preserve">. </w:t>
      </w:r>
      <w:r w:rsidRPr="00705126">
        <w:rPr>
          <w:rFonts w:cstheme="minorHAnsi"/>
        </w:rPr>
        <w:t xml:space="preserve"> </w:t>
      </w:r>
      <w:bookmarkStart w:id="0" w:name="_GoBack"/>
      <w:bookmarkEnd w:id="0"/>
    </w:p>
    <w:p w14:paraId="6CF12909" w14:textId="77777777" w:rsidR="00797D3E" w:rsidRPr="00797D3E" w:rsidRDefault="00797D3E" w:rsidP="00797D3E">
      <w:pPr>
        <w:rPr>
          <w:rFonts w:cstheme="minorHAnsi"/>
        </w:rPr>
      </w:pPr>
      <w:r w:rsidRPr="00797D3E">
        <w:rPr>
          <w:rFonts w:cstheme="minorHAnsi"/>
        </w:rPr>
        <w:t>The top three themes in the comment section related to:</w:t>
      </w:r>
    </w:p>
    <w:p w14:paraId="7AC03EC5" w14:textId="77777777" w:rsidR="00797D3E" w:rsidRPr="00797D3E" w:rsidRDefault="00797D3E" w:rsidP="00797D3E">
      <w:pPr>
        <w:pStyle w:val="ListParagraph"/>
        <w:numPr>
          <w:ilvl w:val="0"/>
          <w:numId w:val="27"/>
        </w:numPr>
        <w:spacing w:after="240"/>
        <w:rPr>
          <w:rFonts w:cstheme="minorHAnsi"/>
        </w:rPr>
      </w:pPr>
      <w:r w:rsidRPr="00797D3E">
        <w:rPr>
          <w:rFonts w:cstheme="minorHAnsi"/>
        </w:rPr>
        <w:t xml:space="preserve">The amount of monetary contributions allocated to affordable housing </w:t>
      </w:r>
    </w:p>
    <w:p w14:paraId="3C34F930" w14:textId="77777777" w:rsidR="00797D3E" w:rsidRPr="00797D3E" w:rsidRDefault="00797D3E" w:rsidP="00797D3E">
      <w:pPr>
        <w:pStyle w:val="ListParagraph"/>
        <w:numPr>
          <w:ilvl w:val="0"/>
          <w:numId w:val="27"/>
        </w:numPr>
        <w:spacing w:after="240"/>
        <w:rPr>
          <w:rFonts w:cstheme="minorHAnsi"/>
        </w:rPr>
      </w:pPr>
      <w:r w:rsidRPr="00797D3E">
        <w:rPr>
          <w:rFonts w:cstheme="minorHAnsi"/>
        </w:rPr>
        <w:t xml:space="preserve">Method of assessing contributions </w:t>
      </w:r>
    </w:p>
    <w:p w14:paraId="57487663" w14:textId="0A0A4B0A" w:rsidR="00797D3E" w:rsidRDefault="00797D3E" w:rsidP="00797D3E">
      <w:pPr>
        <w:pStyle w:val="ListParagraph"/>
        <w:numPr>
          <w:ilvl w:val="0"/>
          <w:numId w:val="27"/>
        </w:numPr>
        <w:spacing w:after="240"/>
        <w:rPr>
          <w:rFonts w:cstheme="minorHAnsi"/>
        </w:rPr>
      </w:pPr>
      <w:r w:rsidRPr="00797D3E">
        <w:rPr>
          <w:rFonts w:cstheme="minorHAnsi"/>
        </w:rPr>
        <w:t>Amount of open space provided in VPA</w:t>
      </w:r>
    </w:p>
    <w:p w14:paraId="47ED649F" w14:textId="253B6985" w:rsidR="002A747E" w:rsidRPr="002A747E" w:rsidRDefault="00132D69" w:rsidP="002A747E">
      <w:pPr>
        <w:spacing w:after="240"/>
        <w:rPr>
          <w:rFonts w:cstheme="minorHAnsi"/>
        </w:rPr>
      </w:pPr>
      <w:r>
        <w:rPr>
          <w:rFonts w:cstheme="minorHAnsi"/>
        </w:rPr>
        <w:t xml:space="preserve">Majority </w:t>
      </w:r>
      <w:r w:rsidR="0093153C">
        <w:rPr>
          <w:rFonts w:cstheme="minorHAnsi"/>
        </w:rPr>
        <w:t>of</w:t>
      </w:r>
      <w:r>
        <w:rPr>
          <w:rFonts w:cstheme="minorHAnsi"/>
        </w:rPr>
        <w:t xml:space="preserve"> comments submitted by the community </w:t>
      </w:r>
      <w:r w:rsidR="002A747E">
        <w:rPr>
          <w:rFonts w:cstheme="minorHAnsi"/>
        </w:rPr>
        <w:t>were beyond the scope of this engagement.</w:t>
      </w:r>
    </w:p>
    <w:p w14:paraId="11F2868A" w14:textId="45281A57" w:rsidR="00797D3E" w:rsidRPr="00797D3E" w:rsidRDefault="00797D3E" w:rsidP="00797D3E">
      <w:pPr>
        <w:rPr>
          <w:rFonts w:cstheme="minorHAnsi"/>
        </w:rPr>
      </w:pPr>
      <w:r w:rsidRPr="00797D3E">
        <w:rPr>
          <w:rFonts w:cstheme="minorHAnsi"/>
        </w:rPr>
        <w:t xml:space="preserve">Information about the voluntary planning agreement was made available via Your Say Inner West </w:t>
      </w:r>
      <w:hyperlink r:id="rId12" w:history="1">
        <w:r w:rsidRPr="00797D3E">
          <w:rPr>
            <w:rStyle w:val="Hyperlink"/>
            <w:rFonts w:cstheme="minorHAnsi"/>
          </w:rPr>
          <w:t>yoursay.innerwest.nsw.gov.au</w:t>
        </w:r>
      </w:hyperlink>
      <w:r w:rsidRPr="00797D3E">
        <w:rPr>
          <w:rFonts w:cstheme="minorHAnsi"/>
        </w:rPr>
        <w:t>. People could provide feedback:</w:t>
      </w:r>
    </w:p>
    <w:p w14:paraId="2020160E" w14:textId="77777777" w:rsidR="00797D3E" w:rsidRPr="00797D3E" w:rsidRDefault="00797D3E" w:rsidP="00797D3E">
      <w:pPr>
        <w:pStyle w:val="ListParagraph"/>
        <w:numPr>
          <w:ilvl w:val="0"/>
          <w:numId w:val="28"/>
        </w:numPr>
        <w:rPr>
          <w:rFonts w:cstheme="minorHAnsi"/>
        </w:rPr>
      </w:pPr>
      <w:r w:rsidRPr="00797D3E">
        <w:rPr>
          <w:rFonts w:cstheme="minorHAnsi"/>
        </w:rPr>
        <w:t xml:space="preserve">Online via Council’s Your Say Inner West (YSIW) engagement hub </w:t>
      </w:r>
    </w:p>
    <w:p w14:paraId="09FADA3A" w14:textId="77777777" w:rsidR="00797D3E" w:rsidRPr="00797D3E" w:rsidRDefault="00797D3E" w:rsidP="00797D3E">
      <w:pPr>
        <w:pStyle w:val="ListParagraph"/>
        <w:numPr>
          <w:ilvl w:val="0"/>
          <w:numId w:val="28"/>
        </w:numPr>
        <w:rPr>
          <w:rFonts w:cstheme="minorHAnsi"/>
        </w:rPr>
      </w:pPr>
      <w:r w:rsidRPr="00797D3E">
        <w:rPr>
          <w:rFonts w:cstheme="minorHAnsi"/>
        </w:rPr>
        <w:t>By mail</w:t>
      </w:r>
    </w:p>
    <w:p w14:paraId="77928CF4" w14:textId="77777777" w:rsidR="00797D3E" w:rsidRPr="00797D3E" w:rsidRDefault="00797D3E" w:rsidP="00797D3E">
      <w:pPr>
        <w:spacing w:after="240"/>
        <w:rPr>
          <w:rFonts w:cstheme="minorHAnsi"/>
          <w:bCs/>
        </w:rPr>
      </w:pPr>
      <w:r w:rsidRPr="00797D3E">
        <w:rPr>
          <w:rFonts w:cstheme="minorHAnsi"/>
          <w:bCs/>
        </w:rPr>
        <w:t>This was promoted through Council’s social media and website.</w:t>
      </w:r>
    </w:p>
    <w:p w14:paraId="4C365B16" w14:textId="77777777" w:rsidR="00797D3E" w:rsidRPr="00797D3E" w:rsidRDefault="00797D3E" w:rsidP="00797D3E">
      <w:pPr>
        <w:rPr>
          <w:rFonts w:cstheme="minorHAnsi"/>
          <w:b/>
        </w:rPr>
      </w:pPr>
      <w:r w:rsidRPr="00797D3E">
        <w:rPr>
          <w:rFonts w:cstheme="minorHAnsi"/>
          <w:b/>
        </w:rPr>
        <w:t xml:space="preserve">Background </w:t>
      </w:r>
    </w:p>
    <w:p w14:paraId="5C512AF0" w14:textId="77777777" w:rsidR="00797D3E" w:rsidRPr="00797D3E" w:rsidRDefault="00797D3E" w:rsidP="00797D3E">
      <w:pPr>
        <w:spacing w:after="240"/>
        <w:rPr>
          <w:rStyle w:val="apple-converted-space"/>
          <w:rFonts w:cstheme="minorHAnsi"/>
        </w:rPr>
      </w:pPr>
      <w:r w:rsidRPr="00797D3E">
        <w:rPr>
          <w:rFonts w:cstheme="minorHAnsi"/>
        </w:rPr>
        <w:t>The site is located at 67, 73-83 Mary, 50-52 Edith &amp; 43 Roberts Streets, St Peters. The total site area is approximately 15,200 square metres. The site is located within a predominantly residential area, characterised by one and two storey developments.</w:t>
      </w:r>
      <w:r w:rsidRPr="00797D3E">
        <w:rPr>
          <w:rStyle w:val="apple-converted-space"/>
          <w:rFonts w:cstheme="minorHAnsi"/>
        </w:rPr>
        <w:t> </w:t>
      </w:r>
    </w:p>
    <w:p w14:paraId="30E9321F" w14:textId="77777777" w:rsidR="00797D3E" w:rsidRPr="00797D3E" w:rsidRDefault="00797D3E" w:rsidP="00797D3E">
      <w:pPr>
        <w:rPr>
          <w:rFonts w:cstheme="minorHAnsi"/>
        </w:rPr>
      </w:pPr>
      <w:r w:rsidRPr="00797D3E">
        <w:rPr>
          <w:rFonts w:cstheme="minorHAnsi"/>
        </w:rPr>
        <w:t>The Planning proposal seeks the following:</w:t>
      </w:r>
    </w:p>
    <w:p w14:paraId="7D34AF8B" w14:textId="77777777" w:rsidR="00797D3E" w:rsidRPr="00797D3E" w:rsidRDefault="00797D3E" w:rsidP="00797D3E">
      <w:pPr>
        <w:pStyle w:val="ListParagraph"/>
        <w:numPr>
          <w:ilvl w:val="0"/>
          <w:numId w:val="29"/>
        </w:numPr>
        <w:spacing w:after="240"/>
        <w:rPr>
          <w:rFonts w:cstheme="minorHAnsi"/>
          <w:color w:val="000000"/>
          <w:lang w:eastAsia="en-AU"/>
        </w:rPr>
      </w:pPr>
      <w:r w:rsidRPr="00797D3E">
        <w:rPr>
          <w:rFonts w:cstheme="minorHAnsi"/>
          <w:color w:val="000000"/>
          <w:lang w:eastAsia="en-AU"/>
        </w:rPr>
        <w:t>Rezoning from IN2 Light Industrial &amp; R2 Low Density Residential to B4 Mixed Use;</w:t>
      </w:r>
    </w:p>
    <w:p w14:paraId="693F50FE" w14:textId="77777777" w:rsidR="00797D3E" w:rsidRPr="00797D3E" w:rsidRDefault="00797D3E" w:rsidP="00797D3E">
      <w:pPr>
        <w:pStyle w:val="ListParagraph"/>
        <w:numPr>
          <w:ilvl w:val="0"/>
          <w:numId w:val="29"/>
        </w:numPr>
        <w:spacing w:after="240"/>
        <w:rPr>
          <w:rFonts w:cstheme="minorHAnsi"/>
          <w:color w:val="000000"/>
          <w:lang w:eastAsia="en-AU"/>
        </w:rPr>
      </w:pPr>
      <w:r w:rsidRPr="00797D3E">
        <w:rPr>
          <w:rFonts w:cstheme="minorHAnsi"/>
          <w:color w:val="000000"/>
          <w:lang w:eastAsia="en-AU"/>
        </w:rPr>
        <w:t>A Maximum Floor Space Ratio (FSR) of 2.20:1;</w:t>
      </w:r>
    </w:p>
    <w:p w14:paraId="3D1316E3" w14:textId="77777777" w:rsidR="00797D3E" w:rsidRPr="00797D3E" w:rsidRDefault="00797D3E" w:rsidP="00797D3E">
      <w:pPr>
        <w:pStyle w:val="ListParagraph"/>
        <w:numPr>
          <w:ilvl w:val="0"/>
          <w:numId w:val="29"/>
        </w:numPr>
        <w:spacing w:after="240"/>
        <w:rPr>
          <w:rFonts w:cstheme="minorHAnsi"/>
          <w:color w:val="000000"/>
          <w:lang w:eastAsia="en-AU"/>
        </w:rPr>
      </w:pPr>
      <w:r w:rsidRPr="00797D3E">
        <w:rPr>
          <w:rFonts w:cstheme="minorHAnsi"/>
          <w:color w:val="000000"/>
          <w:lang w:eastAsia="en-AU"/>
        </w:rPr>
        <w:t>A range of Maximum Building Heights, varying from 3 metres, 17 metres, 20 metres and 23 metres to 29 metres; and</w:t>
      </w:r>
    </w:p>
    <w:p w14:paraId="2061CA8C" w14:textId="77777777" w:rsidR="00797D3E" w:rsidRPr="00797D3E" w:rsidRDefault="00797D3E" w:rsidP="00797D3E">
      <w:pPr>
        <w:pStyle w:val="ListParagraph"/>
        <w:numPr>
          <w:ilvl w:val="0"/>
          <w:numId w:val="29"/>
        </w:numPr>
        <w:spacing w:after="240"/>
        <w:rPr>
          <w:rFonts w:cstheme="minorHAnsi"/>
          <w:color w:val="000000"/>
          <w:lang w:eastAsia="en-AU"/>
        </w:rPr>
      </w:pPr>
      <w:r w:rsidRPr="00797D3E">
        <w:rPr>
          <w:rFonts w:cstheme="minorHAnsi"/>
          <w:color w:val="000000"/>
          <w:lang w:eastAsia="en-AU"/>
        </w:rPr>
        <w:t>A number of site-specific administrative changes to facilitate redevelopment of the Site.</w:t>
      </w:r>
    </w:p>
    <w:p w14:paraId="62A42CA8" w14:textId="77777777" w:rsidR="00797D3E" w:rsidRPr="00797D3E" w:rsidRDefault="00797D3E" w:rsidP="00797D3E">
      <w:pPr>
        <w:spacing w:after="240"/>
        <w:rPr>
          <w:rFonts w:cstheme="minorHAnsi"/>
        </w:rPr>
      </w:pPr>
      <w:r w:rsidRPr="00797D3E">
        <w:rPr>
          <w:rFonts w:cstheme="minorHAnsi"/>
        </w:rPr>
        <w:t>As Council did not support the planning proposal, it is now in its final stages of assessment by the Department of Planning.</w:t>
      </w:r>
    </w:p>
    <w:p w14:paraId="4F521407" w14:textId="77777777" w:rsidR="00797D3E" w:rsidRPr="00797D3E" w:rsidRDefault="00797D3E" w:rsidP="00797D3E">
      <w:pPr>
        <w:spacing w:after="240"/>
        <w:jc w:val="both"/>
        <w:rPr>
          <w:rFonts w:eastAsia="Franklin Gothic Book" w:cstheme="minorHAnsi"/>
          <w:color w:val="000000" w:themeColor="text1"/>
          <w:kern w:val="20"/>
          <w:lang w:eastAsia="ja-JP"/>
        </w:rPr>
      </w:pPr>
      <w:r w:rsidRPr="00797D3E">
        <w:rPr>
          <w:rFonts w:cstheme="minorHAnsi"/>
        </w:rPr>
        <w:t xml:space="preserve">In 2018, the landowner had negotiated the terms of a public benefit offer to executed in the form of a planning agreement. Council proposed a value capture methodology and engaged a valuer who established the value. </w:t>
      </w:r>
      <w:r w:rsidRPr="009C5B50">
        <w:rPr>
          <w:rFonts w:eastAsia="Franklin Gothic Book" w:cstheme="minorHAnsi"/>
          <w:color w:val="000000" w:themeColor="text1"/>
          <w:kern w:val="20"/>
          <w:lang w:eastAsia="ja-JP"/>
        </w:rPr>
        <w:t>HillPDA</w:t>
      </w:r>
      <w:r w:rsidRPr="00797D3E">
        <w:rPr>
          <w:rFonts w:eastAsia="Franklin Gothic Book" w:cstheme="minorHAnsi"/>
          <w:color w:val="000000" w:themeColor="text1"/>
          <w:kern w:val="20"/>
          <w:lang w:eastAsia="ja-JP"/>
        </w:rPr>
        <w:t xml:space="preserve"> have undertaken a valuation which is dated 7</w:t>
      </w:r>
      <w:r w:rsidRPr="00797D3E">
        <w:rPr>
          <w:rFonts w:eastAsia="Franklin Gothic Book" w:cstheme="minorHAnsi"/>
          <w:color w:val="000000" w:themeColor="text1"/>
          <w:kern w:val="20"/>
          <w:vertAlign w:val="superscript"/>
          <w:lang w:eastAsia="ja-JP"/>
        </w:rPr>
        <w:t>th</w:t>
      </w:r>
      <w:r w:rsidRPr="00797D3E">
        <w:rPr>
          <w:rFonts w:eastAsia="Franklin Gothic Book" w:cstheme="minorHAnsi"/>
          <w:color w:val="000000" w:themeColor="text1"/>
          <w:kern w:val="20"/>
          <w:lang w:eastAsia="ja-JP"/>
        </w:rPr>
        <w:t xml:space="preserve"> September 2017. This valuation assessed the 50% of the value uplift due to the Planning Proposal at $5,160,000. The valuation was undertaken near the peak of the market and would still be the current market value especially under the current economic climate. The public benefit and associated value includes:</w:t>
      </w:r>
    </w:p>
    <w:p w14:paraId="1AD73912" w14:textId="77777777" w:rsidR="00797D3E" w:rsidRPr="00797D3E" w:rsidRDefault="00797D3E" w:rsidP="00797D3E">
      <w:pPr>
        <w:pStyle w:val="ListParagraph"/>
        <w:numPr>
          <w:ilvl w:val="0"/>
          <w:numId w:val="30"/>
        </w:numPr>
        <w:spacing w:after="240"/>
        <w:rPr>
          <w:rFonts w:cstheme="minorHAnsi"/>
          <w:b/>
          <w:bCs/>
        </w:rPr>
      </w:pPr>
      <w:r w:rsidRPr="00797D3E">
        <w:rPr>
          <w:rFonts w:cstheme="minorHAnsi"/>
        </w:rPr>
        <w:t>Dedication of fully fitted out Artist Studios of more than 239m</w:t>
      </w:r>
      <w:r w:rsidRPr="00797D3E">
        <w:rPr>
          <w:rFonts w:cstheme="minorHAnsi"/>
          <w:vertAlign w:val="superscript"/>
        </w:rPr>
        <w:t>2</w:t>
      </w:r>
      <w:r w:rsidRPr="00797D3E">
        <w:rPr>
          <w:rFonts w:cstheme="minorHAnsi"/>
        </w:rPr>
        <w:t xml:space="preserve"> in size; </w:t>
      </w:r>
      <w:r w:rsidRPr="00797D3E">
        <w:rPr>
          <w:rFonts w:cstheme="minorHAnsi"/>
          <w:b/>
          <w:bCs/>
        </w:rPr>
        <w:t>Value: $3,500,000</w:t>
      </w:r>
    </w:p>
    <w:p w14:paraId="4DB529ED" w14:textId="77777777" w:rsidR="00797D3E" w:rsidRPr="00797D3E" w:rsidRDefault="00797D3E" w:rsidP="00797D3E">
      <w:pPr>
        <w:pStyle w:val="ListParagraph"/>
        <w:numPr>
          <w:ilvl w:val="0"/>
          <w:numId w:val="30"/>
        </w:numPr>
        <w:spacing w:after="240"/>
        <w:rPr>
          <w:rFonts w:cstheme="minorHAnsi"/>
        </w:rPr>
      </w:pPr>
      <w:r w:rsidRPr="00797D3E">
        <w:rPr>
          <w:rFonts w:cstheme="minorHAnsi"/>
        </w:rPr>
        <w:lastRenderedPageBreak/>
        <w:t>Central open public space of more than 600m</w:t>
      </w:r>
      <w:r w:rsidRPr="00797D3E">
        <w:rPr>
          <w:rFonts w:cstheme="minorHAnsi"/>
          <w:vertAlign w:val="superscript"/>
        </w:rPr>
        <w:t>2</w:t>
      </w:r>
      <w:r w:rsidRPr="00797D3E">
        <w:rPr>
          <w:rFonts w:cstheme="minorHAnsi"/>
        </w:rPr>
        <w:t xml:space="preserve"> in size.  An artist’s impression of the central public space is provided below; </w:t>
      </w:r>
      <w:r w:rsidRPr="00797D3E">
        <w:rPr>
          <w:rFonts w:cstheme="minorHAnsi"/>
          <w:b/>
          <w:bCs/>
        </w:rPr>
        <w:t>Value: $500,000</w:t>
      </w:r>
    </w:p>
    <w:p w14:paraId="3A164064" w14:textId="77777777" w:rsidR="00797D3E" w:rsidRPr="00797D3E" w:rsidRDefault="00797D3E" w:rsidP="00797D3E">
      <w:pPr>
        <w:pStyle w:val="ListParagraph"/>
        <w:numPr>
          <w:ilvl w:val="0"/>
          <w:numId w:val="30"/>
        </w:numPr>
        <w:spacing w:after="240"/>
        <w:rPr>
          <w:rFonts w:cstheme="minorHAnsi"/>
        </w:rPr>
      </w:pPr>
      <w:r w:rsidRPr="00797D3E">
        <w:rPr>
          <w:rFonts w:cstheme="minorHAnsi"/>
        </w:rPr>
        <w:t xml:space="preserve">Pocket Park open space on Roberts Street; </w:t>
      </w:r>
      <w:r w:rsidRPr="00797D3E">
        <w:rPr>
          <w:rFonts w:cstheme="minorHAnsi"/>
          <w:b/>
          <w:bCs/>
        </w:rPr>
        <w:t>Value: $250,000</w:t>
      </w:r>
    </w:p>
    <w:p w14:paraId="02B10743" w14:textId="77777777" w:rsidR="00797D3E" w:rsidRPr="00797D3E" w:rsidRDefault="00797D3E" w:rsidP="00797D3E">
      <w:pPr>
        <w:pStyle w:val="ListParagraph"/>
        <w:numPr>
          <w:ilvl w:val="0"/>
          <w:numId w:val="30"/>
        </w:numPr>
        <w:spacing w:after="240"/>
        <w:rPr>
          <w:rFonts w:cstheme="minorHAnsi"/>
          <w:bCs/>
        </w:rPr>
      </w:pPr>
      <w:r w:rsidRPr="00797D3E">
        <w:rPr>
          <w:rFonts w:cstheme="minorHAnsi"/>
        </w:rPr>
        <w:t>At least half of the monetary contribution of $2,000,000 to be used for affordable housing or public domain upgrades be used for affordable housing by way of contribution to the affordable housing fund</w:t>
      </w:r>
      <w:r w:rsidRPr="00797D3E">
        <w:rPr>
          <w:rFonts w:cstheme="minorHAnsi"/>
          <w:bCs/>
        </w:rPr>
        <w:t xml:space="preserve">. </w:t>
      </w:r>
      <w:r w:rsidRPr="00797D3E">
        <w:rPr>
          <w:rFonts w:cstheme="minorHAnsi"/>
          <w:b/>
        </w:rPr>
        <w:t>Value: $2,000,000</w:t>
      </w:r>
    </w:p>
    <w:p w14:paraId="5C703B07" w14:textId="77777777" w:rsidR="00797D3E" w:rsidRPr="00797D3E" w:rsidRDefault="00797D3E" w:rsidP="00797D3E">
      <w:pPr>
        <w:spacing w:after="240"/>
        <w:rPr>
          <w:rFonts w:cstheme="minorHAnsi"/>
          <w:b/>
        </w:rPr>
      </w:pPr>
      <w:r w:rsidRPr="00797D3E">
        <w:rPr>
          <w:rFonts w:cstheme="minorHAnsi"/>
          <w:bCs/>
        </w:rPr>
        <w:t xml:space="preserve">Total VPA value = </w:t>
      </w:r>
      <w:r w:rsidRPr="00797D3E">
        <w:rPr>
          <w:rFonts w:cstheme="minorHAnsi"/>
          <w:b/>
        </w:rPr>
        <w:t>$6,250,000</w:t>
      </w:r>
    </w:p>
    <w:p w14:paraId="58956365" w14:textId="77777777" w:rsidR="00797D3E" w:rsidRPr="00797D3E" w:rsidRDefault="00797D3E" w:rsidP="00797D3E">
      <w:pPr>
        <w:spacing w:after="240"/>
        <w:jc w:val="both"/>
        <w:rPr>
          <w:rFonts w:cstheme="minorHAnsi"/>
          <w:bCs/>
        </w:rPr>
      </w:pPr>
      <w:r w:rsidRPr="00797D3E">
        <w:rPr>
          <w:rFonts w:cstheme="minorHAnsi"/>
          <w:bCs/>
        </w:rPr>
        <w:t xml:space="preserve">The proponent will be providing $6,250,000 worth of public benefit within the Voluntary Planning Agreement which is significantly more than the 50% uplift in land value as assessed by HillPDA. Council has worked very hard to keep this offer current as there will be no provisions within the planning approval (provided by the State Government) which will state that the proponent must enter into a VPA with Council. If Council doesn’t accept this proposal, the proponent will not provide any additional public benefit for this development. </w:t>
      </w:r>
    </w:p>
    <w:p w14:paraId="471DA101" w14:textId="5F7F8976" w:rsidR="00C31062" w:rsidRPr="00797D3E" w:rsidRDefault="00C31062" w:rsidP="00797D3E">
      <w:pPr>
        <w:jc w:val="both"/>
        <w:rPr>
          <w:rFonts w:cstheme="minorHAnsi"/>
          <w:b/>
          <w:bCs/>
        </w:rPr>
      </w:pPr>
    </w:p>
    <w:sectPr w:rsidR="00C31062" w:rsidRPr="00797D3E" w:rsidSect="00B44BB5">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38A8" w14:textId="77777777" w:rsidR="003B2ABD" w:rsidRDefault="003B2ABD" w:rsidP="00B44BB5">
      <w:pPr>
        <w:spacing w:after="0" w:line="240" w:lineRule="auto"/>
      </w:pPr>
      <w:r>
        <w:separator/>
      </w:r>
    </w:p>
  </w:endnote>
  <w:endnote w:type="continuationSeparator" w:id="0">
    <w:p w14:paraId="4CB87877" w14:textId="77777777" w:rsidR="003B2ABD" w:rsidRDefault="003B2ABD"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74AD217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752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7524">
              <w:rPr>
                <w:b/>
                <w:bCs/>
                <w:noProof/>
              </w:rPr>
              <w:t>5</w:t>
            </w:r>
            <w:r>
              <w:rPr>
                <w:b/>
                <w:bCs/>
                <w:sz w:val="24"/>
                <w:szCs w:val="24"/>
              </w:rPr>
              <w:fldChar w:fldCharType="end"/>
            </w:r>
          </w:p>
        </w:sdtContent>
      </w:sdt>
    </w:sdtContent>
  </w:sdt>
  <w:p w14:paraId="30EA023D"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A02C2" w14:textId="77777777" w:rsidR="003B2ABD" w:rsidRDefault="003B2ABD" w:rsidP="00B44BB5">
      <w:pPr>
        <w:spacing w:after="0" w:line="240" w:lineRule="auto"/>
      </w:pPr>
      <w:r>
        <w:separator/>
      </w:r>
    </w:p>
  </w:footnote>
  <w:footnote w:type="continuationSeparator" w:id="0">
    <w:p w14:paraId="478EDF9B" w14:textId="77777777" w:rsidR="003B2ABD" w:rsidRDefault="003B2ABD"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7F23" w14:textId="7F815DA1" w:rsidR="00B44BB5" w:rsidRDefault="00425C3E">
    <w:pPr>
      <w:pStyle w:val="Header"/>
    </w:pPr>
    <w:r>
      <w:rPr>
        <w:noProof/>
        <w:lang w:eastAsia="en-AU"/>
      </w:rPr>
      <w:drawing>
        <wp:inline distT="0" distB="0" distL="0" distR="0" wp14:anchorId="20F1D8C2" wp14:editId="514E6085">
          <wp:extent cx="5731510" cy="707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47B"/>
    <w:multiLevelType w:val="hybridMultilevel"/>
    <w:tmpl w:val="5538A2E4"/>
    <w:lvl w:ilvl="0" w:tplc="5BC86B8E">
      <w:start w:val="1"/>
      <w:numFmt w:val="decimal"/>
      <w:lvlText w:val="%1."/>
      <w:lvlJc w:val="left"/>
      <w:pPr>
        <w:ind w:left="1020" w:hanging="360"/>
      </w:pPr>
      <w:rPr>
        <w:rFonts w:ascii="Arial" w:eastAsia="Arial" w:hAnsi="Arial" w:cs="Arial" w:hint="default"/>
        <w:b/>
        <w:bCs/>
        <w:spacing w:val="-1"/>
        <w:w w:val="100"/>
        <w:sz w:val="22"/>
        <w:szCs w:val="22"/>
      </w:rPr>
    </w:lvl>
    <w:lvl w:ilvl="1" w:tplc="AC8615FA">
      <w:numFmt w:val="bullet"/>
      <w:lvlText w:val="o"/>
      <w:lvlJc w:val="left"/>
      <w:pPr>
        <w:ind w:left="1756" w:hanging="361"/>
      </w:pPr>
      <w:rPr>
        <w:rFonts w:ascii="Courier New" w:eastAsia="Courier New" w:hAnsi="Courier New" w:cs="Courier New" w:hint="default"/>
        <w:w w:val="100"/>
        <w:sz w:val="22"/>
        <w:szCs w:val="22"/>
      </w:rPr>
    </w:lvl>
    <w:lvl w:ilvl="2" w:tplc="750E221E">
      <w:numFmt w:val="bullet"/>
      <w:lvlText w:val="•"/>
      <w:lvlJc w:val="left"/>
      <w:pPr>
        <w:ind w:left="2729" w:hanging="361"/>
      </w:pPr>
      <w:rPr>
        <w:rFonts w:hint="default"/>
      </w:rPr>
    </w:lvl>
    <w:lvl w:ilvl="3" w:tplc="3FA86CE6">
      <w:numFmt w:val="bullet"/>
      <w:lvlText w:val="•"/>
      <w:lvlJc w:val="left"/>
      <w:pPr>
        <w:ind w:left="3699" w:hanging="361"/>
      </w:pPr>
      <w:rPr>
        <w:rFonts w:hint="default"/>
      </w:rPr>
    </w:lvl>
    <w:lvl w:ilvl="4" w:tplc="52841D9C">
      <w:numFmt w:val="bullet"/>
      <w:lvlText w:val="•"/>
      <w:lvlJc w:val="left"/>
      <w:pPr>
        <w:ind w:left="4668" w:hanging="361"/>
      </w:pPr>
      <w:rPr>
        <w:rFonts w:hint="default"/>
      </w:rPr>
    </w:lvl>
    <w:lvl w:ilvl="5" w:tplc="33442B26">
      <w:numFmt w:val="bullet"/>
      <w:lvlText w:val="•"/>
      <w:lvlJc w:val="left"/>
      <w:pPr>
        <w:ind w:left="5638" w:hanging="361"/>
      </w:pPr>
      <w:rPr>
        <w:rFonts w:hint="default"/>
      </w:rPr>
    </w:lvl>
    <w:lvl w:ilvl="6" w:tplc="AD3A0BC8">
      <w:numFmt w:val="bullet"/>
      <w:lvlText w:val="•"/>
      <w:lvlJc w:val="left"/>
      <w:pPr>
        <w:ind w:left="6608" w:hanging="361"/>
      </w:pPr>
      <w:rPr>
        <w:rFonts w:hint="default"/>
      </w:rPr>
    </w:lvl>
    <w:lvl w:ilvl="7" w:tplc="433CAD30">
      <w:numFmt w:val="bullet"/>
      <w:lvlText w:val="•"/>
      <w:lvlJc w:val="left"/>
      <w:pPr>
        <w:ind w:left="7577" w:hanging="361"/>
      </w:pPr>
      <w:rPr>
        <w:rFonts w:hint="default"/>
      </w:rPr>
    </w:lvl>
    <w:lvl w:ilvl="8" w:tplc="9D00A9B0">
      <w:numFmt w:val="bullet"/>
      <w:lvlText w:val="•"/>
      <w:lvlJc w:val="left"/>
      <w:pPr>
        <w:ind w:left="8547" w:hanging="361"/>
      </w:pPr>
      <w:rPr>
        <w:rFonts w:hint="default"/>
      </w:rPr>
    </w:lvl>
  </w:abstractNum>
  <w:abstractNum w:abstractNumId="1"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327252"/>
    <w:multiLevelType w:val="hybridMultilevel"/>
    <w:tmpl w:val="97F88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B06EB"/>
    <w:multiLevelType w:val="hybridMultilevel"/>
    <w:tmpl w:val="25244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C1D70"/>
    <w:multiLevelType w:val="hybridMultilevel"/>
    <w:tmpl w:val="0C1E4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89B5C94"/>
    <w:multiLevelType w:val="hybridMultilevel"/>
    <w:tmpl w:val="D876D6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5109ED"/>
    <w:multiLevelType w:val="hybridMultilevel"/>
    <w:tmpl w:val="611CE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1023FB"/>
    <w:multiLevelType w:val="hybridMultilevel"/>
    <w:tmpl w:val="F5FE9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AF54B3"/>
    <w:multiLevelType w:val="hybridMultilevel"/>
    <w:tmpl w:val="480C7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1418BB"/>
    <w:multiLevelType w:val="hybridMultilevel"/>
    <w:tmpl w:val="E6784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487B91"/>
    <w:multiLevelType w:val="hybridMultilevel"/>
    <w:tmpl w:val="B68A5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80220F"/>
    <w:multiLevelType w:val="hybridMultilevel"/>
    <w:tmpl w:val="B436F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2760A6"/>
    <w:multiLevelType w:val="hybridMultilevel"/>
    <w:tmpl w:val="F6A0F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F835F7"/>
    <w:multiLevelType w:val="hybridMultilevel"/>
    <w:tmpl w:val="E8CEB58E"/>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18" w15:restartNumberingAfterBreak="0">
    <w:nsid w:val="2D88758B"/>
    <w:multiLevelType w:val="hybridMultilevel"/>
    <w:tmpl w:val="3D184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413849"/>
    <w:multiLevelType w:val="hybridMultilevel"/>
    <w:tmpl w:val="0A48D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CF179C"/>
    <w:multiLevelType w:val="hybridMultilevel"/>
    <w:tmpl w:val="D2080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702DD1"/>
    <w:multiLevelType w:val="hybridMultilevel"/>
    <w:tmpl w:val="E41EF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DA0F8E"/>
    <w:multiLevelType w:val="hybridMultilevel"/>
    <w:tmpl w:val="F012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B04A2D"/>
    <w:multiLevelType w:val="hybridMultilevel"/>
    <w:tmpl w:val="E5940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836745"/>
    <w:multiLevelType w:val="hybridMultilevel"/>
    <w:tmpl w:val="344E20BC"/>
    <w:lvl w:ilvl="0" w:tplc="1DB0365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556BBE"/>
    <w:multiLevelType w:val="hybridMultilevel"/>
    <w:tmpl w:val="5CF2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2F0C65"/>
    <w:multiLevelType w:val="hybridMultilevel"/>
    <w:tmpl w:val="5E100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CA6263"/>
    <w:multiLevelType w:val="hybridMultilevel"/>
    <w:tmpl w:val="EF449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703944"/>
    <w:multiLevelType w:val="hybridMultilevel"/>
    <w:tmpl w:val="3C2CB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4"/>
  </w:num>
  <w:num w:numId="5">
    <w:abstractNumId w:val="13"/>
  </w:num>
  <w:num w:numId="6">
    <w:abstractNumId w:val="23"/>
  </w:num>
  <w:num w:numId="7">
    <w:abstractNumId w:val="2"/>
  </w:num>
  <w:num w:numId="8">
    <w:abstractNumId w:val="16"/>
  </w:num>
  <w:num w:numId="9">
    <w:abstractNumId w:val="0"/>
  </w:num>
  <w:num w:numId="10">
    <w:abstractNumId w:val="21"/>
  </w:num>
  <w:num w:numId="11">
    <w:abstractNumId w:val="7"/>
  </w:num>
  <w:num w:numId="12">
    <w:abstractNumId w:val="24"/>
  </w:num>
  <w:num w:numId="13">
    <w:abstractNumId w:val="9"/>
  </w:num>
  <w:num w:numId="14">
    <w:abstractNumId w:val="27"/>
  </w:num>
  <w:num w:numId="15">
    <w:abstractNumId w:val="6"/>
  </w:num>
  <w:num w:numId="16">
    <w:abstractNumId w:val="25"/>
  </w:num>
  <w:num w:numId="17">
    <w:abstractNumId w:val="18"/>
  </w:num>
  <w:num w:numId="18">
    <w:abstractNumId w:val="26"/>
  </w:num>
  <w:num w:numId="19">
    <w:abstractNumId w:val="14"/>
  </w:num>
  <w:num w:numId="20">
    <w:abstractNumId w:val="17"/>
  </w:num>
  <w:num w:numId="21">
    <w:abstractNumId w:val="29"/>
  </w:num>
  <w:num w:numId="22">
    <w:abstractNumId w:val="8"/>
  </w:num>
  <w:num w:numId="23">
    <w:abstractNumId w:val="15"/>
  </w:num>
  <w:num w:numId="24">
    <w:abstractNumId w:val="28"/>
  </w:num>
  <w:num w:numId="25">
    <w:abstractNumId w:val="5"/>
  </w:num>
  <w:num w:numId="26">
    <w:abstractNumId w:val="22"/>
  </w:num>
  <w:num w:numId="27">
    <w:abstractNumId w:val="10"/>
  </w:num>
  <w:num w:numId="28">
    <w:abstractNumId w:val="20"/>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194B"/>
    <w:rsid w:val="0001552D"/>
    <w:rsid w:val="00015A24"/>
    <w:rsid w:val="00026AEF"/>
    <w:rsid w:val="00041723"/>
    <w:rsid w:val="000444E9"/>
    <w:rsid w:val="0004693E"/>
    <w:rsid w:val="000860D6"/>
    <w:rsid w:val="00086F2E"/>
    <w:rsid w:val="000A046F"/>
    <w:rsid w:val="000C696B"/>
    <w:rsid w:val="000D0014"/>
    <w:rsid w:val="000F2271"/>
    <w:rsid w:val="001178F5"/>
    <w:rsid w:val="001221DD"/>
    <w:rsid w:val="00132D69"/>
    <w:rsid w:val="00133CFF"/>
    <w:rsid w:val="00140F3F"/>
    <w:rsid w:val="00142F74"/>
    <w:rsid w:val="001538E8"/>
    <w:rsid w:val="00177095"/>
    <w:rsid w:val="001809CA"/>
    <w:rsid w:val="00187C02"/>
    <w:rsid w:val="00194104"/>
    <w:rsid w:val="00195227"/>
    <w:rsid w:val="00195730"/>
    <w:rsid w:val="001A19D4"/>
    <w:rsid w:val="001C068C"/>
    <w:rsid w:val="001C09E5"/>
    <w:rsid w:val="001C47D9"/>
    <w:rsid w:val="001C5F17"/>
    <w:rsid w:val="001C7995"/>
    <w:rsid w:val="001C7C0D"/>
    <w:rsid w:val="001E1575"/>
    <w:rsid w:val="00202E8B"/>
    <w:rsid w:val="00203AFA"/>
    <w:rsid w:val="002056E7"/>
    <w:rsid w:val="00222455"/>
    <w:rsid w:val="00231607"/>
    <w:rsid w:val="00235A51"/>
    <w:rsid w:val="00240155"/>
    <w:rsid w:val="00253400"/>
    <w:rsid w:val="00253A10"/>
    <w:rsid w:val="00256F25"/>
    <w:rsid w:val="00264F00"/>
    <w:rsid w:val="002666CD"/>
    <w:rsid w:val="002710AB"/>
    <w:rsid w:val="00273C49"/>
    <w:rsid w:val="0028238B"/>
    <w:rsid w:val="00290A3D"/>
    <w:rsid w:val="0029222F"/>
    <w:rsid w:val="002A2D85"/>
    <w:rsid w:val="002A747E"/>
    <w:rsid w:val="002B1493"/>
    <w:rsid w:val="002B36EF"/>
    <w:rsid w:val="002C7813"/>
    <w:rsid w:val="002D555A"/>
    <w:rsid w:val="002E0EE2"/>
    <w:rsid w:val="002F6973"/>
    <w:rsid w:val="00310DCC"/>
    <w:rsid w:val="0031178C"/>
    <w:rsid w:val="00327B37"/>
    <w:rsid w:val="003471A3"/>
    <w:rsid w:val="00354EB9"/>
    <w:rsid w:val="003561F9"/>
    <w:rsid w:val="003645A1"/>
    <w:rsid w:val="00376A44"/>
    <w:rsid w:val="00377649"/>
    <w:rsid w:val="00380412"/>
    <w:rsid w:val="00383F14"/>
    <w:rsid w:val="00394DD8"/>
    <w:rsid w:val="003B0AF5"/>
    <w:rsid w:val="003B118B"/>
    <w:rsid w:val="003B2ABD"/>
    <w:rsid w:val="003C0C1C"/>
    <w:rsid w:val="003C1B56"/>
    <w:rsid w:val="003D2204"/>
    <w:rsid w:val="003D6E68"/>
    <w:rsid w:val="003D7BFE"/>
    <w:rsid w:val="00400CBF"/>
    <w:rsid w:val="004101F2"/>
    <w:rsid w:val="00425C3E"/>
    <w:rsid w:val="00432361"/>
    <w:rsid w:val="004360CA"/>
    <w:rsid w:val="004511C6"/>
    <w:rsid w:val="00477042"/>
    <w:rsid w:val="00484F57"/>
    <w:rsid w:val="004903A3"/>
    <w:rsid w:val="004908D2"/>
    <w:rsid w:val="00493E21"/>
    <w:rsid w:val="004A3D36"/>
    <w:rsid w:val="004A4C44"/>
    <w:rsid w:val="004A5977"/>
    <w:rsid w:val="004C01B3"/>
    <w:rsid w:val="004C6160"/>
    <w:rsid w:val="004D3F03"/>
    <w:rsid w:val="004E06AA"/>
    <w:rsid w:val="00520097"/>
    <w:rsid w:val="00540CA7"/>
    <w:rsid w:val="0054428E"/>
    <w:rsid w:val="00545DF2"/>
    <w:rsid w:val="00553C68"/>
    <w:rsid w:val="00555200"/>
    <w:rsid w:val="00562A65"/>
    <w:rsid w:val="00562BAA"/>
    <w:rsid w:val="00577B00"/>
    <w:rsid w:val="005941E2"/>
    <w:rsid w:val="005A2421"/>
    <w:rsid w:val="005A55A4"/>
    <w:rsid w:val="005A647C"/>
    <w:rsid w:val="005B45AB"/>
    <w:rsid w:val="005D4F73"/>
    <w:rsid w:val="005E358C"/>
    <w:rsid w:val="005E3F5A"/>
    <w:rsid w:val="005F0491"/>
    <w:rsid w:val="006064DC"/>
    <w:rsid w:val="00615D83"/>
    <w:rsid w:val="00621CC2"/>
    <w:rsid w:val="00627395"/>
    <w:rsid w:val="00631E20"/>
    <w:rsid w:val="006329D1"/>
    <w:rsid w:val="00645991"/>
    <w:rsid w:val="00650D7F"/>
    <w:rsid w:val="00656328"/>
    <w:rsid w:val="006648A3"/>
    <w:rsid w:val="00664B05"/>
    <w:rsid w:val="0067263D"/>
    <w:rsid w:val="00676CD6"/>
    <w:rsid w:val="00680765"/>
    <w:rsid w:val="006A5A6C"/>
    <w:rsid w:val="006B1520"/>
    <w:rsid w:val="006B78BD"/>
    <w:rsid w:val="006C4946"/>
    <w:rsid w:val="006D19F9"/>
    <w:rsid w:val="006E6EA3"/>
    <w:rsid w:val="006F3EC2"/>
    <w:rsid w:val="006F726A"/>
    <w:rsid w:val="00702539"/>
    <w:rsid w:val="00705126"/>
    <w:rsid w:val="0070625F"/>
    <w:rsid w:val="00715098"/>
    <w:rsid w:val="00715951"/>
    <w:rsid w:val="007177AC"/>
    <w:rsid w:val="007248EE"/>
    <w:rsid w:val="007408B4"/>
    <w:rsid w:val="00757E47"/>
    <w:rsid w:val="00762890"/>
    <w:rsid w:val="00767FAA"/>
    <w:rsid w:val="00767FCC"/>
    <w:rsid w:val="00773A65"/>
    <w:rsid w:val="00791997"/>
    <w:rsid w:val="0079696E"/>
    <w:rsid w:val="00797D3E"/>
    <w:rsid w:val="007B354E"/>
    <w:rsid w:val="007B4584"/>
    <w:rsid w:val="007B73C2"/>
    <w:rsid w:val="007C7939"/>
    <w:rsid w:val="007E7A1D"/>
    <w:rsid w:val="007F4920"/>
    <w:rsid w:val="008225C5"/>
    <w:rsid w:val="00825458"/>
    <w:rsid w:val="00835C58"/>
    <w:rsid w:val="008377E4"/>
    <w:rsid w:val="00866745"/>
    <w:rsid w:val="00866BF7"/>
    <w:rsid w:val="00871B64"/>
    <w:rsid w:val="00872428"/>
    <w:rsid w:val="008759AF"/>
    <w:rsid w:val="008B38B2"/>
    <w:rsid w:val="008B7C0E"/>
    <w:rsid w:val="008C27F2"/>
    <w:rsid w:val="008C5678"/>
    <w:rsid w:val="008D150A"/>
    <w:rsid w:val="008D7E4A"/>
    <w:rsid w:val="008E3709"/>
    <w:rsid w:val="0090047C"/>
    <w:rsid w:val="0090539C"/>
    <w:rsid w:val="009254D6"/>
    <w:rsid w:val="0093153C"/>
    <w:rsid w:val="00937CDF"/>
    <w:rsid w:val="00940655"/>
    <w:rsid w:val="009644D6"/>
    <w:rsid w:val="009707FB"/>
    <w:rsid w:val="00972268"/>
    <w:rsid w:val="0097368D"/>
    <w:rsid w:val="009774E0"/>
    <w:rsid w:val="00985676"/>
    <w:rsid w:val="00990DAA"/>
    <w:rsid w:val="009A2949"/>
    <w:rsid w:val="009A5569"/>
    <w:rsid w:val="009B117B"/>
    <w:rsid w:val="009C3B6E"/>
    <w:rsid w:val="009C5B50"/>
    <w:rsid w:val="009E28CA"/>
    <w:rsid w:val="009E3E1A"/>
    <w:rsid w:val="009F7C8C"/>
    <w:rsid w:val="00A05208"/>
    <w:rsid w:val="00A07978"/>
    <w:rsid w:val="00A3650E"/>
    <w:rsid w:val="00A42B67"/>
    <w:rsid w:val="00A447A3"/>
    <w:rsid w:val="00A54E41"/>
    <w:rsid w:val="00A662A2"/>
    <w:rsid w:val="00A76561"/>
    <w:rsid w:val="00A83599"/>
    <w:rsid w:val="00A938F3"/>
    <w:rsid w:val="00AA22AA"/>
    <w:rsid w:val="00AA278B"/>
    <w:rsid w:val="00AA73FC"/>
    <w:rsid w:val="00AB116E"/>
    <w:rsid w:val="00AB162B"/>
    <w:rsid w:val="00AB3DC0"/>
    <w:rsid w:val="00AB659E"/>
    <w:rsid w:val="00AC1714"/>
    <w:rsid w:val="00AD0CDD"/>
    <w:rsid w:val="00AD2679"/>
    <w:rsid w:val="00AE2E39"/>
    <w:rsid w:val="00AE7064"/>
    <w:rsid w:val="00AF1E85"/>
    <w:rsid w:val="00B44BB5"/>
    <w:rsid w:val="00B664B0"/>
    <w:rsid w:val="00B679BA"/>
    <w:rsid w:val="00B67B93"/>
    <w:rsid w:val="00B81C21"/>
    <w:rsid w:val="00B82F19"/>
    <w:rsid w:val="00B84B4B"/>
    <w:rsid w:val="00B8612E"/>
    <w:rsid w:val="00BA5671"/>
    <w:rsid w:val="00BB0167"/>
    <w:rsid w:val="00BB5A9E"/>
    <w:rsid w:val="00BC20F7"/>
    <w:rsid w:val="00BE644E"/>
    <w:rsid w:val="00BF7DA8"/>
    <w:rsid w:val="00C02320"/>
    <w:rsid w:val="00C02585"/>
    <w:rsid w:val="00C05360"/>
    <w:rsid w:val="00C274AE"/>
    <w:rsid w:val="00C275C8"/>
    <w:rsid w:val="00C31062"/>
    <w:rsid w:val="00C35BCD"/>
    <w:rsid w:val="00C42428"/>
    <w:rsid w:val="00C46AFB"/>
    <w:rsid w:val="00C47D48"/>
    <w:rsid w:val="00C604F6"/>
    <w:rsid w:val="00C66415"/>
    <w:rsid w:val="00C75E93"/>
    <w:rsid w:val="00C8615F"/>
    <w:rsid w:val="00C92D3D"/>
    <w:rsid w:val="00CA2595"/>
    <w:rsid w:val="00CB6686"/>
    <w:rsid w:val="00CC10F8"/>
    <w:rsid w:val="00CC26DF"/>
    <w:rsid w:val="00CD4D9A"/>
    <w:rsid w:val="00CD56F0"/>
    <w:rsid w:val="00CE49CA"/>
    <w:rsid w:val="00CF100C"/>
    <w:rsid w:val="00CF60EE"/>
    <w:rsid w:val="00D12D3B"/>
    <w:rsid w:val="00D14610"/>
    <w:rsid w:val="00D30F6E"/>
    <w:rsid w:val="00D362BE"/>
    <w:rsid w:val="00D36B48"/>
    <w:rsid w:val="00D605F6"/>
    <w:rsid w:val="00D66075"/>
    <w:rsid w:val="00D7153C"/>
    <w:rsid w:val="00D822C0"/>
    <w:rsid w:val="00DA0DDE"/>
    <w:rsid w:val="00DB6765"/>
    <w:rsid w:val="00DC0AC9"/>
    <w:rsid w:val="00DC3C0F"/>
    <w:rsid w:val="00DE0871"/>
    <w:rsid w:val="00DE0E71"/>
    <w:rsid w:val="00DE5652"/>
    <w:rsid w:val="00DF1E14"/>
    <w:rsid w:val="00DF554A"/>
    <w:rsid w:val="00DF7AF0"/>
    <w:rsid w:val="00E07D1E"/>
    <w:rsid w:val="00E11757"/>
    <w:rsid w:val="00E11A5B"/>
    <w:rsid w:val="00E13260"/>
    <w:rsid w:val="00E20C23"/>
    <w:rsid w:val="00E20C6D"/>
    <w:rsid w:val="00E22760"/>
    <w:rsid w:val="00E349D3"/>
    <w:rsid w:val="00E366EC"/>
    <w:rsid w:val="00E50504"/>
    <w:rsid w:val="00E52B66"/>
    <w:rsid w:val="00E562CB"/>
    <w:rsid w:val="00E707EB"/>
    <w:rsid w:val="00E72D02"/>
    <w:rsid w:val="00E7561E"/>
    <w:rsid w:val="00E758D7"/>
    <w:rsid w:val="00E77205"/>
    <w:rsid w:val="00E77524"/>
    <w:rsid w:val="00E85B0B"/>
    <w:rsid w:val="00E87930"/>
    <w:rsid w:val="00E87E9D"/>
    <w:rsid w:val="00E9155A"/>
    <w:rsid w:val="00E91D39"/>
    <w:rsid w:val="00E96DF0"/>
    <w:rsid w:val="00EA0ED5"/>
    <w:rsid w:val="00EB165B"/>
    <w:rsid w:val="00EB2A9A"/>
    <w:rsid w:val="00EB737E"/>
    <w:rsid w:val="00EB73D5"/>
    <w:rsid w:val="00EB7E03"/>
    <w:rsid w:val="00ED1492"/>
    <w:rsid w:val="00EF6AD8"/>
    <w:rsid w:val="00F12D7E"/>
    <w:rsid w:val="00F32151"/>
    <w:rsid w:val="00F67FFE"/>
    <w:rsid w:val="00F866DC"/>
    <w:rsid w:val="00FA29C3"/>
    <w:rsid w:val="00FB3A13"/>
    <w:rsid w:val="00FF3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B4213D"/>
  <w15:docId w15:val="{E2B4C03B-91DD-48B8-AB62-6EBEF450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7F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767F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7F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7FA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40655"/>
    <w:rPr>
      <w:color w:val="0563C1" w:themeColor="hyperlink"/>
      <w:u w:val="single"/>
    </w:rPr>
  </w:style>
  <w:style w:type="paragraph" w:styleId="NoSpacing">
    <w:name w:val="No Spacing"/>
    <w:uiPriority w:val="1"/>
    <w:qFormat/>
    <w:rsid w:val="000C696B"/>
    <w:pPr>
      <w:spacing w:after="0" w:line="240" w:lineRule="auto"/>
    </w:pPr>
  </w:style>
  <w:style w:type="table" w:styleId="TableGrid">
    <w:name w:val="Table Grid"/>
    <w:basedOn w:val="TableNormal"/>
    <w:uiPriority w:val="59"/>
    <w:rsid w:val="00C27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F726A"/>
    <w:pPr>
      <w:spacing w:after="0" w:line="240" w:lineRule="auto"/>
    </w:pPr>
    <w:rPr>
      <w:rFonts w:ascii="Helvetica" w:hAnsi="Helvetica" w:cs="Calibri"/>
      <w:sz w:val="14"/>
      <w:szCs w:val="14"/>
      <w:lang w:eastAsia="en-AU"/>
    </w:rPr>
  </w:style>
  <w:style w:type="character" w:customStyle="1" w:styleId="apple-converted-space">
    <w:name w:val="apple-converted-space"/>
    <w:basedOn w:val="DefaultParagraphFont"/>
    <w:rsid w:val="006F726A"/>
  </w:style>
  <w:style w:type="character" w:styleId="CommentReference">
    <w:name w:val="annotation reference"/>
    <w:basedOn w:val="DefaultParagraphFont"/>
    <w:uiPriority w:val="99"/>
    <w:semiHidden/>
    <w:unhideWhenUsed/>
    <w:rsid w:val="001C068C"/>
    <w:rPr>
      <w:sz w:val="16"/>
      <w:szCs w:val="16"/>
    </w:rPr>
  </w:style>
  <w:style w:type="paragraph" w:styleId="CommentText">
    <w:name w:val="annotation text"/>
    <w:basedOn w:val="Normal"/>
    <w:link w:val="CommentTextChar"/>
    <w:uiPriority w:val="99"/>
    <w:semiHidden/>
    <w:unhideWhenUsed/>
    <w:rsid w:val="001C068C"/>
    <w:pPr>
      <w:spacing w:line="240" w:lineRule="auto"/>
    </w:pPr>
    <w:rPr>
      <w:sz w:val="20"/>
      <w:szCs w:val="20"/>
    </w:rPr>
  </w:style>
  <w:style w:type="character" w:customStyle="1" w:styleId="CommentTextChar">
    <w:name w:val="Comment Text Char"/>
    <w:basedOn w:val="DefaultParagraphFont"/>
    <w:link w:val="CommentText"/>
    <w:uiPriority w:val="99"/>
    <w:semiHidden/>
    <w:rsid w:val="001C068C"/>
    <w:rPr>
      <w:sz w:val="20"/>
      <w:szCs w:val="20"/>
    </w:rPr>
  </w:style>
  <w:style w:type="paragraph" w:styleId="CommentSubject">
    <w:name w:val="annotation subject"/>
    <w:basedOn w:val="CommentText"/>
    <w:next w:val="CommentText"/>
    <w:link w:val="CommentSubjectChar"/>
    <w:uiPriority w:val="99"/>
    <w:semiHidden/>
    <w:unhideWhenUsed/>
    <w:rsid w:val="001C068C"/>
    <w:rPr>
      <w:b/>
      <w:bCs/>
    </w:rPr>
  </w:style>
  <w:style w:type="character" w:customStyle="1" w:styleId="CommentSubjectChar">
    <w:name w:val="Comment Subject Char"/>
    <w:basedOn w:val="CommentTextChar"/>
    <w:link w:val="CommentSubject"/>
    <w:uiPriority w:val="99"/>
    <w:semiHidden/>
    <w:rsid w:val="001C068C"/>
    <w:rPr>
      <w:b/>
      <w:bCs/>
      <w:sz w:val="20"/>
      <w:szCs w:val="20"/>
    </w:rPr>
  </w:style>
  <w:style w:type="character" w:styleId="UnresolvedMention">
    <w:name w:val="Unresolved Mention"/>
    <w:basedOn w:val="DefaultParagraphFont"/>
    <w:uiPriority w:val="99"/>
    <w:semiHidden/>
    <w:unhideWhenUsed/>
    <w:rsid w:val="002E0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097">
      <w:bodyDiv w:val="1"/>
      <w:marLeft w:val="0"/>
      <w:marRight w:val="0"/>
      <w:marTop w:val="0"/>
      <w:marBottom w:val="0"/>
      <w:divBdr>
        <w:top w:val="none" w:sz="0" w:space="0" w:color="auto"/>
        <w:left w:val="none" w:sz="0" w:space="0" w:color="auto"/>
        <w:bottom w:val="none" w:sz="0" w:space="0" w:color="auto"/>
        <w:right w:val="none" w:sz="0" w:space="0" w:color="auto"/>
      </w:divBdr>
    </w:div>
    <w:div w:id="520241480">
      <w:bodyDiv w:val="1"/>
      <w:marLeft w:val="0"/>
      <w:marRight w:val="0"/>
      <w:marTop w:val="0"/>
      <w:marBottom w:val="0"/>
      <w:divBdr>
        <w:top w:val="none" w:sz="0" w:space="0" w:color="auto"/>
        <w:left w:val="none" w:sz="0" w:space="0" w:color="auto"/>
        <w:bottom w:val="none" w:sz="0" w:space="0" w:color="auto"/>
        <w:right w:val="none" w:sz="0" w:space="0" w:color="auto"/>
      </w:divBdr>
    </w:div>
    <w:div w:id="639917999">
      <w:bodyDiv w:val="1"/>
      <w:marLeft w:val="0"/>
      <w:marRight w:val="0"/>
      <w:marTop w:val="0"/>
      <w:marBottom w:val="0"/>
      <w:divBdr>
        <w:top w:val="none" w:sz="0" w:space="0" w:color="auto"/>
        <w:left w:val="none" w:sz="0" w:space="0" w:color="auto"/>
        <w:bottom w:val="none" w:sz="0" w:space="0" w:color="auto"/>
        <w:right w:val="none" w:sz="0" w:space="0" w:color="auto"/>
      </w:divBdr>
    </w:div>
    <w:div w:id="858277863">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3487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rsay.innerwest.ns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erwest.infocouncil.biz/Open/2020/04/C_28042020_MIN_3749_WEB.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034CA90D87BA4AA139521616FE4E14" ma:contentTypeVersion="4" ma:contentTypeDescription="Create a new document." ma:contentTypeScope="" ma:versionID="049dc70cce5c767057b5e722c60f3fe5">
  <xsd:schema xmlns:xsd="http://www.w3.org/2001/XMLSchema" xmlns:xs="http://www.w3.org/2001/XMLSchema" xmlns:p="http://schemas.microsoft.com/office/2006/metadata/properties" xmlns:ns3="f4d34da3-ac62-4651-a2f4-11be77fde634" targetNamespace="http://schemas.microsoft.com/office/2006/metadata/properties" ma:root="true" ma:fieldsID="85c95e0ac019ca72874a93a07587c9a9" ns3:_="">
    <xsd:import namespace="f4d34da3-ac62-4651-a2f4-11be77fde6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4da3-ac62-4651-a2f4-11be77fde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C0CC4-3135-4535-B044-EB4C63CBE3B3}">
  <ds:schemaRefs>
    <ds:schemaRef ds:uri="http://purl.org/dc/dcmitype/"/>
    <ds:schemaRef ds:uri="http://schemas.microsoft.com/office/2006/documentManagement/types"/>
    <ds:schemaRef ds:uri="f4d34da3-ac62-4651-a2f4-11be77fde634"/>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70D7DFD-C27E-4643-8541-2903FAE72CF6}">
  <ds:schemaRefs>
    <ds:schemaRef ds:uri="http://schemas.microsoft.com/sharepoint/v3/contenttype/forms"/>
  </ds:schemaRefs>
</ds:datastoreItem>
</file>

<file path=customXml/itemProps3.xml><?xml version="1.0" encoding="utf-8"?>
<ds:datastoreItem xmlns:ds="http://schemas.openxmlformats.org/officeDocument/2006/customXml" ds:itemID="{19EE2431-D3B0-4B8C-9EDF-0C288E6B1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34da3-ac62-4651-a2f4-11be77fd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Sesilia Devine</dc:creator>
  <cp:lastModifiedBy>Renata Krchnakova</cp:lastModifiedBy>
  <cp:revision>6</cp:revision>
  <cp:lastPrinted>2019-07-19T00:34:00Z</cp:lastPrinted>
  <dcterms:created xsi:type="dcterms:W3CDTF">2020-06-22T01:23:00Z</dcterms:created>
  <dcterms:modified xsi:type="dcterms:W3CDTF">2020-06-22T02:58:00Z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0x010100F6034CA90D87BA4AA139521616FE4E14</vt:lpwstr>
  </property>
</Properties>
</file>