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8BFB" w14:textId="3263917C" w:rsidR="002F48BB" w:rsidRPr="00FC09E8" w:rsidRDefault="002F48BB" w:rsidP="00767FAA">
      <w:pPr>
        <w:pStyle w:val="Heading1"/>
        <w:rPr>
          <w:rFonts w:cs="Arial"/>
          <w:sz w:val="48"/>
          <w:szCs w:val="48"/>
        </w:rPr>
      </w:pPr>
    </w:p>
    <w:p w14:paraId="0CB5CAE6" w14:textId="27E99954" w:rsidR="00A20CFB" w:rsidRDefault="00A20CFB" w:rsidP="00FC09E8">
      <w:pPr>
        <w:jc w:val="center"/>
        <w:rPr>
          <w:rFonts w:cs="Arial"/>
        </w:rPr>
      </w:pPr>
    </w:p>
    <w:p w14:paraId="29C14EFD" w14:textId="768F3E62" w:rsidR="00FC09E8" w:rsidRPr="00FC09E8" w:rsidRDefault="00FC09E8" w:rsidP="00FC09E8">
      <w:pPr>
        <w:pStyle w:val="Title"/>
        <w:jc w:val="center"/>
        <w:rPr>
          <w:rFonts w:ascii="Arial" w:hAnsi="Arial" w:cs="Arial"/>
        </w:rPr>
      </w:pPr>
      <w:r w:rsidRPr="00FC09E8">
        <w:rPr>
          <w:rFonts w:ascii="Arial" w:hAnsi="Arial" w:cs="Arial"/>
        </w:rPr>
        <w:t xml:space="preserve">Engagement </w:t>
      </w:r>
      <w:r w:rsidR="007430C7">
        <w:rPr>
          <w:rFonts w:ascii="Arial" w:hAnsi="Arial" w:cs="Arial"/>
        </w:rPr>
        <w:t>O</w:t>
      </w:r>
      <w:r w:rsidRPr="00FC09E8">
        <w:rPr>
          <w:rFonts w:ascii="Arial" w:hAnsi="Arial" w:cs="Arial"/>
        </w:rPr>
        <w:t xml:space="preserve">utcomes </w:t>
      </w:r>
      <w:r w:rsidR="007430C7">
        <w:rPr>
          <w:rFonts w:ascii="Arial" w:hAnsi="Arial" w:cs="Arial"/>
        </w:rPr>
        <w:t>R</w:t>
      </w:r>
      <w:r w:rsidRPr="00FC09E8">
        <w:rPr>
          <w:rFonts w:ascii="Arial" w:hAnsi="Arial" w:cs="Arial"/>
        </w:rPr>
        <w:t>eport</w:t>
      </w:r>
      <w:r w:rsidR="007430C7">
        <w:rPr>
          <w:rFonts w:ascii="Arial" w:hAnsi="Arial" w:cs="Arial"/>
        </w:rPr>
        <w:t xml:space="preserve"> (Public Exhibition)</w:t>
      </w:r>
    </w:p>
    <w:p w14:paraId="536E3AEB" w14:textId="77777777" w:rsidR="00FC09E8" w:rsidRDefault="00FC09E8" w:rsidP="00FC09E8">
      <w:pPr>
        <w:pStyle w:val="Title"/>
        <w:jc w:val="center"/>
        <w:rPr>
          <w:rFonts w:ascii="Arial" w:hAnsi="Arial" w:cs="Arial"/>
          <w:i/>
          <w:iCs/>
        </w:rPr>
      </w:pPr>
      <w:r w:rsidRPr="00FC09E8">
        <w:rPr>
          <w:rFonts w:ascii="Arial" w:hAnsi="Arial" w:cs="Arial"/>
          <w:i/>
          <w:iCs/>
        </w:rPr>
        <w:t xml:space="preserve">Creative Inner West: </w:t>
      </w:r>
    </w:p>
    <w:p w14:paraId="77FFFD33" w14:textId="2BEB7E78" w:rsidR="00FC09E8" w:rsidRPr="00FC09E8" w:rsidRDefault="00FC09E8" w:rsidP="00FC09E8">
      <w:pPr>
        <w:pStyle w:val="Title"/>
        <w:jc w:val="center"/>
        <w:rPr>
          <w:rFonts w:ascii="Arial" w:hAnsi="Arial" w:cs="Arial"/>
          <w:i/>
          <w:iCs/>
        </w:rPr>
      </w:pPr>
      <w:r w:rsidRPr="00FC09E8">
        <w:rPr>
          <w:rFonts w:ascii="Arial" w:hAnsi="Arial" w:cs="Arial"/>
          <w:i/>
          <w:iCs/>
        </w:rPr>
        <w:t>Cultural Strategy</w:t>
      </w:r>
      <w:r>
        <w:rPr>
          <w:rFonts w:ascii="Arial" w:hAnsi="Arial" w:cs="Arial"/>
          <w:i/>
          <w:iCs/>
        </w:rPr>
        <w:t xml:space="preserve"> 2021 - 2025</w:t>
      </w:r>
    </w:p>
    <w:p w14:paraId="47ABED74" w14:textId="77777777" w:rsidR="00FC09E8" w:rsidRPr="00FC09E8" w:rsidRDefault="00FC09E8" w:rsidP="00A20CFB">
      <w:pPr>
        <w:rPr>
          <w:rFonts w:cs="Arial"/>
        </w:rPr>
      </w:pPr>
    </w:p>
    <w:p w14:paraId="61060DDF" w14:textId="77777777" w:rsidR="00A20CFB" w:rsidRPr="00FC09E8" w:rsidRDefault="00A20CFB" w:rsidP="00A20CFB">
      <w:pPr>
        <w:rPr>
          <w:rFonts w:cs="Arial"/>
        </w:rPr>
      </w:pPr>
    </w:p>
    <w:p w14:paraId="346FC335" w14:textId="77777777" w:rsidR="00A20CFB" w:rsidRPr="00FC09E8" w:rsidRDefault="00A20CFB" w:rsidP="00A20CFB">
      <w:pPr>
        <w:rPr>
          <w:rFonts w:cs="Arial"/>
        </w:rPr>
      </w:pPr>
    </w:p>
    <w:p w14:paraId="61FA6803" w14:textId="66BC242E" w:rsidR="00A20CFB" w:rsidRPr="00FC09E8" w:rsidRDefault="00017FC4" w:rsidP="00A20CFB">
      <w:pPr>
        <w:rPr>
          <w:rFonts w:cs="Arial"/>
        </w:rPr>
      </w:pPr>
      <w:r w:rsidRPr="00FC09E8">
        <w:rPr>
          <w:rFonts w:cs="Arial"/>
          <w:noProof/>
        </w:rPr>
        <w:drawing>
          <wp:inline distT="0" distB="0" distL="0" distR="0" wp14:anchorId="5AC4F89D" wp14:editId="708C767A">
            <wp:extent cx="5731510" cy="3822065"/>
            <wp:effectExtent l="0" t="0" r="2540" b="6985"/>
            <wp:docPr id="2" name="Picture 2" descr="A picture containing person, outdoor, group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outdoor, group, posin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F2C3" w14:textId="6FAA6EA6" w:rsidR="00A20CFB" w:rsidRPr="00FC09E8" w:rsidRDefault="00FC09E8" w:rsidP="00A20CFB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Picture: </w:t>
      </w:r>
      <w:r w:rsidR="00A56876" w:rsidRPr="00FC09E8">
        <w:rPr>
          <w:rFonts w:cs="Arial"/>
          <w:b/>
          <w:bCs/>
          <w:sz w:val="16"/>
          <w:szCs w:val="16"/>
        </w:rPr>
        <w:t>EDGE Greenway 2019</w:t>
      </w:r>
    </w:p>
    <w:p w14:paraId="547A697B" w14:textId="77777777" w:rsidR="00A56876" w:rsidRPr="00FC09E8" w:rsidRDefault="00A56876" w:rsidP="00A20CFB">
      <w:pPr>
        <w:pStyle w:val="Title"/>
        <w:rPr>
          <w:rFonts w:ascii="Arial" w:hAnsi="Arial" w:cs="Arial"/>
        </w:rPr>
      </w:pPr>
    </w:p>
    <w:p w14:paraId="2420273E" w14:textId="77777777" w:rsidR="00A56876" w:rsidRPr="00FC09E8" w:rsidRDefault="00A56876" w:rsidP="00A20CFB">
      <w:pPr>
        <w:pStyle w:val="Title"/>
        <w:rPr>
          <w:rFonts w:ascii="Arial" w:hAnsi="Arial" w:cs="Arial"/>
        </w:rPr>
      </w:pPr>
    </w:p>
    <w:p w14:paraId="048DD5D3" w14:textId="7E04CFFE" w:rsidR="00A20CFB" w:rsidRPr="00FC09E8" w:rsidRDefault="00A20CFB">
      <w:pPr>
        <w:rPr>
          <w:rFonts w:cs="Arial"/>
          <w:i/>
          <w:iCs/>
        </w:rPr>
      </w:pPr>
      <w:r w:rsidRPr="00FC09E8">
        <w:rPr>
          <w:rFonts w:cs="Arial"/>
          <w:i/>
          <w:iCs/>
        </w:rPr>
        <w:br w:type="page"/>
      </w:r>
    </w:p>
    <w:p w14:paraId="19AC4F51" w14:textId="77777777" w:rsidR="006C494B" w:rsidRPr="00FC09E8" w:rsidRDefault="006C494B">
      <w:pPr>
        <w:rPr>
          <w:rFonts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EAB102" w14:textId="388E4337" w:rsidR="00F839C2" w:rsidRPr="00FC09E8" w:rsidRDefault="00F839C2">
          <w:pPr>
            <w:pStyle w:val="TOCHeading"/>
            <w:rPr>
              <w:rFonts w:ascii="Arial" w:hAnsi="Arial" w:cs="Arial"/>
              <w:sz w:val="40"/>
              <w:szCs w:val="40"/>
            </w:rPr>
          </w:pPr>
          <w:r w:rsidRPr="00FC09E8">
            <w:rPr>
              <w:rFonts w:ascii="Arial" w:hAnsi="Arial" w:cs="Arial"/>
              <w:sz w:val="40"/>
              <w:szCs w:val="40"/>
            </w:rPr>
            <w:t>Contents</w:t>
          </w:r>
        </w:p>
        <w:p w14:paraId="28903A04" w14:textId="65EB1524" w:rsidR="00F839C2" w:rsidRPr="00FC09E8" w:rsidRDefault="00F839C2">
          <w:pPr>
            <w:pStyle w:val="TOC1"/>
            <w:tabs>
              <w:tab w:val="right" w:leader="dot" w:pos="9016"/>
            </w:tabs>
            <w:rPr>
              <w:rFonts w:cs="Arial"/>
              <w:noProof/>
              <w:sz w:val="28"/>
              <w:szCs w:val="28"/>
            </w:rPr>
          </w:pPr>
          <w:r w:rsidRPr="00FC09E8">
            <w:rPr>
              <w:rFonts w:cs="Arial"/>
              <w:sz w:val="28"/>
              <w:szCs w:val="28"/>
            </w:rPr>
            <w:fldChar w:fldCharType="begin"/>
          </w:r>
          <w:r w:rsidRPr="00FC09E8">
            <w:rPr>
              <w:rFonts w:cs="Arial"/>
              <w:sz w:val="28"/>
              <w:szCs w:val="28"/>
            </w:rPr>
            <w:instrText xml:space="preserve"> TOC \o "1-3" \h \z \u </w:instrText>
          </w:r>
          <w:r w:rsidRPr="00FC09E8">
            <w:rPr>
              <w:rFonts w:cs="Arial"/>
              <w:sz w:val="28"/>
              <w:szCs w:val="28"/>
            </w:rPr>
            <w:fldChar w:fldCharType="separate"/>
          </w:r>
          <w:hyperlink w:anchor="_Summary" w:history="1">
            <w:r w:rsidRPr="00FC09E8">
              <w:rPr>
                <w:rStyle w:val="Hyperlink"/>
                <w:rFonts w:cs="Arial"/>
                <w:noProof/>
                <w:sz w:val="28"/>
                <w:szCs w:val="28"/>
              </w:rPr>
              <w:t>Summary</w:t>
            </w:r>
            <w:r w:rsidRPr="00FC09E8">
              <w:rPr>
                <w:rFonts w:cs="Arial"/>
                <w:noProof/>
                <w:webHidden/>
                <w:sz w:val="28"/>
                <w:szCs w:val="28"/>
              </w:rPr>
              <w:tab/>
            </w:r>
            <w:r w:rsidRPr="00FC09E8">
              <w:rPr>
                <w:rFonts w:cs="Arial"/>
                <w:noProof/>
                <w:webHidden/>
                <w:sz w:val="28"/>
                <w:szCs w:val="28"/>
              </w:rPr>
              <w:fldChar w:fldCharType="begin"/>
            </w:r>
            <w:r w:rsidRPr="00FC09E8">
              <w:rPr>
                <w:rFonts w:cs="Arial"/>
                <w:noProof/>
                <w:webHidden/>
                <w:sz w:val="28"/>
                <w:szCs w:val="28"/>
              </w:rPr>
              <w:instrText xml:space="preserve"> PAGEREF _Toc49783650 \h </w:instrText>
            </w:r>
            <w:r w:rsidRPr="00FC09E8">
              <w:rPr>
                <w:rFonts w:cs="Arial"/>
                <w:noProof/>
                <w:webHidden/>
                <w:sz w:val="28"/>
                <w:szCs w:val="28"/>
              </w:rPr>
            </w:r>
            <w:r w:rsidRPr="00FC09E8">
              <w:rPr>
                <w:rFonts w:cs="Arial"/>
                <w:noProof/>
                <w:webHidden/>
                <w:sz w:val="28"/>
                <w:szCs w:val="28"/>
              </w:rPr>
              <w:fldChar w:fldCharType="separate"/>
            </w:r>
            <w:r w:rsidR="00120281">
              <w:rPr>
                <w:rFonts w:cs="Arial"/>
                <w:noProof/>
                <w:webHidden/>
                <w:sz w:val="28"/>
                <w:szCs w:val="28"/>
              </w:rPr>
              <w:t>3</w:t>
            </w:r>
            <w:r w:rsidRPr="00FC09E8">
              <w:rPr>
                <w:rFonts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0E77F5" w14:textId="69185E00" w:rsidR="00F839C2" w:rsidRPr="00FC09E8" w:rsidRDefault="00F839C2">
          <w:pPr>
            <w:pStyle w:val="TOC1"/>
            <w:tabs>
              <w:tab w:val="right" w:leader="dot" w:pos="9016"/>
            </w:tabs>
            <w:rPr>
              <w:rStyle w:val="Hyperlink"/>
              <w:rFonts w:cs="Arial"/>
              <w:noProof/>
              <w:sz w:val="28"/>
              <w:szCs w:val="28"/>
            </w:rPr>
          </w:pP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instrText xml:space="preserve"> HYPERLINK  \l "_Background" </w:instrText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separate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t>Background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tab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instrText xml:space="preserve"> PAGEREF _Toc49783651 \h </w:instrTex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separate"/>
          </w:r>
          <w:r w:rsidR="00120281">
            <w:rPr>
              <w:rStyle w:val="Hyperlink"/>
              <w:rFonts w:cs="Arial"/>
              <w:noProof/>
              <w:webHidden/>
              <w:sz w:val="28"/>
              <w:szCs w:val="28"/>
            </w:rPr>
            <w:t>3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end"/>
          </w:r>
        </w:p>
        <w:p w14:paraId="061CB6F1" w14:textId="7EDFBB5F" w:rsidR="00F839C2" w:rsidRPr="00FC09E8" w:rsidRDefault="00F839C2" w:rsidP="00B64A5C">
          <w:pPr>
            <w:pStyle w:val="TOC2"/>
            <w:tabs>
              <w:tab w:val="right" w:leader="dot" w:pos="9016"/>
            </w:tabs>
            <w:ind w:left="0"/>
            <w:rPr>
              <w:rStyle w:val="Hyperlink"/>
              <w:rFonts w:cs="Arial"/>
              <w:noProof/>
              <w:sz w:val="28"/>
              <w:szCs w:val="28"/>
            </w:rPr>
          </w:pP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end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instrText xml:space="preserve"> HYPERLINK  \l "_Engagement_Methods" </w:instrText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separate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t>Engagement Methods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tab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instrText xml:space="preserve"> PAGEREF _Toc49783652 \h </w:instrTex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separate"/>
          </w:r>
          <w:r w:rsidR="00120281">
            <w:rPr>
              <w:rStyle w:val="Hyperlink"/>
              <w:rFonts w:cs="Arial"/>
              <w:noProof/>
              <w:webHidden/>
              <w:sz w:val="28"/>
              <w:szCs w:val="28"/>
            </w:rPr>
            <w:t>3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end"/>
          </w:r>
        </w:p>
        <w:p w14:paraId="16A2F33A" w14:textId="4E68E055" w:rsidR="00F839C2" w:rsidRPr="00FC09E8" w:rsidRDefault="00F839C2" w:rsidP="00B64A5C">
          <w:pPr>
            <w:pStyle w:val="TOC1"/>
            <w:tabs>
              <w:tab w:val="right" w:leader="dot" w:pos="9016"/>
            </w:tabs>
            <w:rPr>
              <w:rStyle w:val="Hyperlink"/>
              <w:rFonts w:cs="Arial"/>
              <w:noProof/>
              <w:sz w:val="28"/>
              <w:szCs w:val="28"/>
            </w:rPr>
          </w:pP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end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instrText xml:space="preserve"> HYPERLINK  \l "_Promotion" </w:instrText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separate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t>Promotion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tab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instrText xml:space="preserve"> PAGEREF _Toc49783653 \h </w:instrTex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separate"/>
          </w:r>
          <w:r w:rsidR="00120281">
            <w:rPr>
              <w:rStyle w:val="Hyperlink"/>
              <w:rFonts w:cs="Arial"/>
              <w:noProof/>
              <w:webHidden/>
              <w:sz w:val="28"/>
              <w:szCs w:val="28"/>
            </w:rPr>
            <w:t>4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end"/>
          </w:r>
        </w:p>
        <w:p w14:paraId="0459A9FA" w14:textId="5BFCF332" w:rsidR="00F839C2" w:rsidRPr="00FC09E8" w:rsidRDefault="00F839C2">
          <w:pPr>
            <w:pStyle w:val="TOC1"/>
            <w:tabs>
              <w:tab w:val="right" w:leader="dot" w:pos="9016"/>
            </w:tabs>
            <w:rPr>
              <w:rStyle w:val="Hyperlink"/>
              <w:rFonts w:cs="Arial"/>
              <w:noProof/>
              <w:sz w:val="28"/>
              <w:szCs w:val="28"/>
            </w:rPr>
          </w:pP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end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instrText xml:space="preserve"> HYPERLINK  \l "_Engagement_outcomes" </w:instrText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separate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t>Engagement outcomes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tab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instrText xml:space="preserve"> PAGEREF _Toc49783654 \h </w:instrTex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separate"/>
          </w:r>
          <w:r w:rsidR="00120281">
            <w:rPr>
              <w:rStyle w:val="Hyperlink"/>
              <w:rFonts w:cs="Arial"/>
              <w:noProof/>
              <w:webHidden/>
              <w:sz w:val="28"/>
              <w:szCs w:val="28"/>
            </w:rPr>
            <w:t>5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fldChar w:fldCharType="end"/>
          </w:r>
        </w:p>
        <w:p w14:paraId="29146114" w14:textId="78B305B4" w:rsidR="00F839C2" w:rsidRPr="00FC09E8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Style w:val="Hyperlink"/>
              <w:rFonts w:cs="Arial"/>
              <w:noProof/>
              <w:sz w:val="28"/>
              <w:szCs w:val="28"/>
            </w:rPr>
          </w:pP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end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begin"/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instrText xml:space="preserve"> HYPERLINK  \l "_Responding_to_the" </w:instrText>
          </w: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separate"/>
          </w:r>
          <w:r w:rsidR="00575AB6" w:rsidRPr="00FC09E8">
            <w:rPr>
              <w:rStyle w:val="Hyperlink"/>
              <w:rFonts w:cs="Arial"/>
              <w:noProof/>
              <w:sz w:val="28"/>
              <w:szCs w:val="28"/>
            </w:rPr>
            <w:t>Officer comments</w:t>
          </w:r>
          <w:r w:rsidRPr="00FC09E8">
            <w:rPr>
              <w:rStyle w:val="Hyperlink"/>
              <w:rFonts w:cs="Arial"/>
              <w:noProof/>
              <w:webHidden/>
              <w:sz w:val="28"/>
              <w:szCs w:val="28"/>
            </w:rPr>
            <w:tab/>
          </w:r>
          <w:r w:rsidR="009926C1">
            <w:rPr>
              <w:rStyle w:val="Hyperlink"/>
              <w:rFonts w:cs="Arial"/>
              <w:noProof/>
              <w:webHidden/>
              <w:sz w:val="28"/>
              <w:szCs w:val="28"/>
            </w:rPr>
            <w:t>6</w:t>
          </w:r>
        </w:p>
        <w:p w14:paraId="53959E0D" w14:textId="1B5BFAE9" w:rsidR="00F839C2" w:rsidRPr="00FC09E8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Fonts w:cs="Arial"/>
            </w:rPr>
          </w:pPr>
          <w:r w:rsidRPr="00FC09E8">
            <w:rPr>
              <w:rStyle w:val="Hyperlink"/>
              <w:rFonts w:cs="Arial"/>
              <w:noProof/>
              <w:sz w:val="28"/>
              <w:szCs w:val="28"/>
            </w:rPr>
            <w:fldChar w:fldCharType="end"/>
          </w:r>
          <w:r w:rsidRPr="00FC09E8">
            <w:rPr>
              <w:rFonts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FC09E8" w:rsidRDefault="00F839C2">
      <w:pPr>
        <w:rPr>
          <w:rFonts w:eastAsiaTheme="majorEastAsia" w:cs="Arial"/>
          <w:sz w:val="44"/>
          <w:szCs w:val="32"/>
        </w:rPr>
      </w:pPr>
      <w:r w:rsidRPr="00FC09E8">
        <w:rPr>
          <w:rFonts w:cs="Arial"/>
        </w:rPr>
        <w:br w:type="page"/>
      </w:r>
    </w:p>
    <w:p w14:paraId="1D5CD80A" w14:textId="7FC4CF8D" w:rsidR="005A647C" w:rsidRPr="00FC09E8" w:rsidRDefault="00A05208" w:rsidP="000C44F3">
      <w:pPr>
        <w:pStyle w:val="Heading1"/>
        <w:rPr>
          <w:rFonts w:cs="Arial"/>
        </w:rPr>
      </w:pPr>
      <w:bookmarkStart w:id="0" w:name="_Summary"/>
      <w:bookmarkStart w:id="1" w:name="_Toc49783650"/>
      <w:bookmarkEnd w:id="0"/>
      <w:r w:rsidRPr="00FC09E8">
        <w:rPr>
          <w:rFonts w:cs="Arial"/>
        </w:rPr>
        <w:lastRenderedPageBreak/>
        <w:t>Summary</w:t>
      </w:r>
      <w:bookmarkEnd w:id="1"/>
    </w:p>
    <w:p w14:paraId="6D7A073B" w14:textId="77777777" w:rsidR="00A03ADF" w:rsidRDefault="00A03ADF" w:rsidP="00B03AAB"/>
    <w:p w14:paraId="2E7F8327" w14:textId="77435753" w:rsidR="00B03AAB" w:rsidRPr="008A57C8" w:rsidRDefault="00B03AAB" w:rsidP="00B03AAB">
      <w:r w:rsidRPr="008A57C8">
        <w:t>The</w:t>
      </w:r>
      <w:r w:rsidRPr="008A57C8">
        <w:rPr>
          <w:i/>
          <w:iCs/>
        </w:rPr>
        <w:t xml:space="preserve"> </w:t>
      </w:r>
      <w:r w:rsidRPr="003F7A50">
        <w:rPr>
          <w:i/>
          <w:iCs/>
        </w:rPr>
        <w:t>Creative Inner West</w:t>
      </w:r>
      <w:r w:rsidRPr="008A57C8">
        <w:rPr>
          <w:i/>
          <w:iCs/>
        </w:rPr>
        <w:t xml:space="preserve">: Cultural Strategy </w:t>
      </w:r>
      <w:r w:rsidRPr="003F7A50">
        <w:t xml:space="preserve">responds to </w:t>
      </w:r>
      <w:r w:rsidRPr="008A57C8">
        <w:t>the</w:t>
      </w:r>
      <w:r w:rsidRPr="003F7A50">
        <w:t xml:space="preserve"> </w:t>
      </w:r>
      <w:r>
        <w:t xml:space="preserve">views and aspirations of our </w:t>
      </w:r>
      <w:r w:rsidRPr="003F7A50">
        <w:t>community draw</w:t>
      </w:r>
      <w:r w:rsidRPr="008A57C8">
        <w:t>ing</w:t>
      </w:r>
      <w:r w:rsidRPr="003F7A50">
        <w:t xml:space="preserve"> on conversations </w:t>
      </w:r>
      <w:r w:rsidRPr="008A57C8">
        <w:t>among</w:t>
      </w:r>
      <w:r w:rsidRPr="003F7A50">
        <w:t xml:space="preserve"> community representatives, organisations, creatives and Council.</w:t>
      </w:r>
      <w:r w:rsidRPr="008A57C8">
        <w:t xml:space="preserve"> </w:t>
      </w:r>
      <w:r w:rsidRPr="003F7A50">
        <w:t>This includes Aboriginal and Torres Strait Islander peoples and organisations, culturally diverse groups and networks, a broad range of creative industries,</w:t>
      </w:r>
      <w:r>
        <w:t xml:space="preserve"> and people from different age groups and abilities.</w:t>
      </w:r>
    </w:p>
    <w:p w14:paraId="6CD74196" w14:textId="77777777" w:rsidR="00B03AAB" w:rsidRDefault="00B03AAB" w:rsidP="00B03AAB">
      <w:r w:rsidRPr="008A57C8">
        <w:t>Community feedback was supplemented by</w:t>
      </w:r>
      <w:r w:rsidRPr="003F7A50">
        <w:t xml:space="preserve"> </w:t>
      </w:r>
      <w:r>
        <w:t>in-depth</w:t>
      </w:r>
      <w:r w:rsidRPr="003F7A50">
        <w:t xml:space="preserve"> interviews </w:t>
      </w:r>
      <w:r>
        <w:t xml:space="preserve">and research </w:t>
      </w:r>
      <w:r w:rsidRPr="003F7A50">
        <w:t>with cultural production spaces and venues</w:t>
      </w:r>
      <w:r w:rsidRPr="008A57C8">
        <w:t>; and a</w:t>
      </w:r>
      <w:r w:rsidRPr="003F7A50">
        <w:t xml:space="preserve"> social media campaign and online survey captured people’s ideas about Inner West culture.</w:t>
      </w:r>
    </w:p>
    <w:p w14:paraId="18FC1034" w14:textId="77777777" w:rsidR="00B03AAB" w:rsidRPr="008A57C8" w:rsidRDefault="00B03AAB" w:rsidP="00B03AAB">
      <w:r>
        <w:t>M</w:t>
      </w:r>
      <w:r w:rsidRPr="008A57C8">
        <w:t xml:space="preserve">ore than </w:t>
      </w:r>
      <w:r>
        <w:t>500</w:t>
      </w:r>
      <w:r w:rsidRPr="008A57C8">
        <w:t xml:space="preserve"> </w:t>
      </w:r>
      <w:r>
        <w:t xml:space="preserve">artists, makers, creatives, musicians, performers, creative entrepreneurs, </w:t>
      </w:r>
      <w:r w:rsidRPr="008A57C8">
        <w:t>community members</w:t>
      </w:r>
      <w:r>
        <w:t xml:space="preserve"> and organisational leaders</w:t>
      </w:r>
      <w:r w:rsidRPr="008A57C8">
        <w:t xml:space="preserve"> participated in the development of the strategy.</w:t>
      </w:r>
    </w:p>
    <w:p w14:paraId="19066659" w14:textId="7D745AD7" w:rsidR="00B03AAB" w:rsidRDefault="00B03AAB" w:rsidP="00B03AAB">
      <w:r w:rsidRPr="0042291F">
        <w:t xml:space="preserve">The </w:t>
      </w:r>
      <w:r w:rsidRPr="003F7A50">
        <w:rPr>
          <w:i/>
          <w:iCs/>
        </w:rPr>
        <w:t>Creative Inner West</w:t>
      </w:r>
      <w:r w:rsidRPr="008A57C8">
        <w:rPr>
          <w:i/>
          <w:iCs/>
        </w:rPr>
        <w:t xml:space="preserve">: Cultural Strategy </w:t>
      </w:r>
      <w:r w:rsidRPr="003F7A50">
        <w:t xml:space="preserve">sets out a vision, priorities and actions for Council and community partners to </w:t>
      </w:r>
      <w:r w:rsidRPr="008A57C8">
        <w:t>respond</w:t>
      </w:r>
      <w:r w:rsidRPr="003F7A50">
        <w:t xml:space="preserve"> to the community’s needs and aspirations.</w:t>
      </w:r>
    </w:p>
    <w:p w14:paraId="2E94AB04" w14:textId="67DD9A6B" w:rsidR="001F7A60" w:rsidRPr="009F57C9" w:rsidRDefault="00A03ADF" w:rsidP="001F7A60">
      <w:pPr>
        <w:spacing w:before="240"/>
        <w:rPr>
          <w:rFonts w:cs="Arial"/>
        </w:rPr>
      </w:pPr>
      <w:r w:rsidRPr="009F57C9">
        <w:rPr>
          <w:rFonts w:cs="Arial"/>
        </w:rPr>
        <w:t>Engagement phases</w:t>
      </w:r>
      <w:r w:rsidR="004614E3" w:rsidRPr="009F57C9">
        <w:rPr>
          <w:rFonts w:cs="Arial"/>
        </w:rPr>
        <w:t xml:space="preserve"> </w:t>
      </w:r>
      <w:r w:rsidR="009C17D6">
        <w:rPr>
          <w:rFonts w:cs="Arial"/>
        </w:rPr>
        <w:t>were</w:t>
      </w:r>
      <w:r w:rsidR="004614E3" w:rsidRPr="009F57C9">
        <w:rPr>
          <w:rFonts w:cs="Arial"/>
        </w:rPr>
        <w:t xml:space="preserve"> as follows</w:t>
      </w:r>
      <w:r w:rsidRPr="009F57C9">
        <w:rPr>
          <w:rFonts w:cs="Arial"/>
        </w:rPr>
        <w:t>:</w:t>
      </w:r>
    </w:p>
    <w:p w14:paraId="3B132E3D" w14:textId="664EE9D3" w:rsidR="00A03ADF" w:rsidRPr="009F57C9" w:rsidRDefault="005A4DFD" w:rsidP="005A4DFD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 w:rsidRPr="009F57C9">
        <w:rPr>
          <w:rFonts w:cs="Arial"/>
        </w:rPr>
        <w:t>Background research and engagement</w:t>
      </w:r>
      <w:r w:rsidR="00F91D51" w:rsidRPr="009F57C9">
        <w:rPr>
          <w:rFonts w:cs="Arial"/>
        </w:rPr>
        <w:t xml:space="preserve"> (2018)</w:t>
      </w:r>
    </w:p>
    <w:p w14:paraId="298067D8" w14:textId="0E6F0831" w:rsidR="005A4DFD" w:rsidRPr="009F57C9" w:rsidRDefault="005A4DFD" w:rsidP="005A4DFD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 w:rsidRPr="009F57C9">
        <w:rPr>
          <w:rFonts w:cs="Arial"/>
        </w:rPr>
        <w:t>Creative Spaces research and engagement</w:t>
      </w:r>
      <w:r w:rsidR="00F91D51" w:rsidRPr="009F57C9">
        <w:rPr>
          <w:rFonts w:cs="Arial"/>
        </w:rPr>
        <w:t xml:space="preserve"> (2017 – 2019)</w:t>
      </w:r>
    </w:p>
    <w:p w14:paraId="5CD66949" w14:textId="2207A281" w:rsidR="005A4DFD" w:rsidRPr="009F57C9" w:rsidRDefault="004614E3" w:rsidP="005A4DFD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 w:rsidRPr="009F57C9">
        <w:rPr>
          <w:rFonts w:cs="Arial"/>
        </w:rPr>
        <w:t>Broad Cultural Strategy engagement (in person and online)</w:t>
      </w:r>
      <w:r w:rsidR="00F91D51" w:rsidRPr="009F57C9">
        <w:rPr>
          <w:rFonts w:cs="Arial"/>
        </w:rPr>
        <w:t xml:space="preserve"> (</w:t>
      </w:r>
      <w:r w:rsidR="00664157" w:rsidRPr="009F57C9">
        <w:rPr>
          <w:rFonts w:cs="Arial"/>
        </w:rPr>
        <w:t xml:space="preserve">2019 - </w:t>
      </w:r>
      <w:r w:rsidR="00F91D51" w:rsidRPr="009F57C9">
        <w:rPr>
          <w:rFonts w:cs="Arial"/>
        </w:rPr>
        <w:t>2020)</w:t>
      </w:r>
    </w:p>
    <w:p w14:paraId="7832A4A9" w14:textId="459DFB52" w:rsidR="004614E3" w:rsidRPr="009F57C9" w:rsidRDefault="004614E3" w:rsidP="005A4DFD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 w:rsidRPr="009F57C9">
        <w:rPr>
          <w:rFonts w:cs="Arial"/>
        </w:rPr>
        <w:t>COVID impacts research</w:t>
      </w:r>
      <w:r w:rsidR="00664157" w:rsidRPr="009F57C9">
        <w:rPr>
          <w:rFonts w:cs="Arial"/>
        </w:rPr>
        <w:t xml:space="preserve"> (</w:t>
      </w:r>
      <w:r w:rsidR="00203F59" w:rsidRPr="009F57C9">
        <w:rPr>
          <w:rFonts w:cs="Arial"/>
        </w:rPr>
        <w:t xml:space="preserve">April – August </w:t>
      </w:r>
      <w:r w:rsidR="00664157" w:rsidRPr="009F57C9">
        <w:rPr>
          <w:rFonts w:cs="Arial"/>
        </w:rPr>
        <w:t>2020)</w:t>
      </w:r>
    </w:p>
    <w:p w14:paraId="3BE787B5" w14:textId="7BBD0FD7" w:rsidR="004614E3" w:rsidRPr="009F57C9" w:rsidRDefault="004614E3" w:rsidP="005A4DFD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 w:rsidRPr="009F57C9">
        <w:rPr>
          <w:rFonts w:cs="Arial"/>
        </w:rPr>
        <w:t>Local democracy groups and internal workshopping</w:t>
      </w:r>
      <w:r w:rsidR="00203F59" w:rsidRPr="009F57C9">
        <w:rPr>
          <w:rFonts w:cs="Arial"/>
        </w:rPr>
        <w:t xml:space="preserve"> (2020 – 2021)  </w:t>
      </w:r>
    </w:p>
    <w:p w14:paraId="462D2CAE" w14:textId="7F569573" w:rsidR="004614E3" w:rsidRPr="009F57C9" w:rsidRDefault="00570325" w:rsidP="005A4DFD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>
        <w:rPr>
          <w:rFonts w:cs="Arial"/>
        </w:rPr>
        <w:t>P</w:t>
      </w:r>
      <w:r w:rsidR="008E7532" w:rsidRPr="009F57C9">
        <w:rPr>
          <w:rFonts w:cs="Arial"/>
        </w:rPr>
        <w:t xml:space="preserve">ublic </w:t>
      </w:r>
      <w:r w:rsidR="001E2089">
        <w:rPr>
          <w:rFonts w:cs="Arial"/>
        </w:rPr>
        <w:t>e</w:t>
      </w:r>
      <w:r w:rsidR="008E7532" w:rsidRPr="009F57C9">
        <w:rPr>
          <w:rFonts w:cs="Arial"/>
        </w:rPr>
        <w:t xml:space="preserve">xhibition </w:t>
      </w:r>
      <w:r w:rsidR="00203F59" w:rsidRPr="009F57C9">
        <w:rPr>
          <w:rFonts w:cs="Arial"/>
        </w:rPr>
        <w:t>(</w:t>
      </w:r>
      <w:r>
        <w:rPr>
          <w:rFonts w:cs="Arial"/>
        </w:rPr>
        <w:t>August - September</w:t>
      </w:r>
      <w:r w:rsidR="00203F59" w:rsidRPr="009F57C9">
        <w:rPr>
          <w:rFonts w:cs="Arial"/>
        </w:rPr>
        <w:t xml:space="preserve"> 2021)</w:t>
      </w:r>
    </w:p>
    <w:p w14:paraId="4AC967DF" w14:textId="337646D0" w:rsidR="007B4584" w:rsidRPr="00FC09E8" w:rsidRDefault="007B4584" w:rsidP="000C44F3">
      <w:pPr>
        <w:pStyle w:val="Heading1"/>
        <w:rPr>
          <w:rFonts w:cs="Arial"/>
        </w:rPr>
      </w:pPr>
      <w:bookmarkStart w:id="2" w:name="_Background"/>
      <w:bookmarkStart w:id="3" w:name="_Toc49783651"/>
      <w:bookmarkEnd w:id="2"/>
      <w:r w:rsidRPr="00FC09E8">
        <w:rPr>
          <w:rFonts w:cs="Arial"/>
        </w:rPr>
        <w:t>Background</w:t>
      </w:r>
      <w:bookmarkEnd w:id="3"/>
    </w:p>
    <w:p w14:paraId="5B876B9C" w14:textId="75381589" w:rsidR="001F7A60" w:rsidRPr="00FC09E8" w:rsidRDefault="001F7A60" w:rsidP="001F7A60">
      <w:pPr>
        <w:rPr>
          <w:rFonts w:cs="Arial"/>
        </w:rPr>
      </w:pPr>
    </w:p>
    <w:p w14:paraId="0591E006" w14:textId="52F6C837" w:rsidR="00113C99" w:rsidRPr="00FC09E8" w:rsidRDefault="00113C99" w:rsidP="003D0833">
      <w:pPr>
        <w:rPr>
          <w:rFonts w:cs="Arial"/>
        </w:rPr>
      </w:pPr>
      <w:r w:rsidRPr="00FC09E8">
        <w:rPr>
          <w:rFonts w:cs="Arial"/>
        </w:rPr>
        <w:t xml:space="preserve">Following Council’s 2017 Creative Communities Notice of Motion, </w:t>
      </w:r>
      <w:r w:rsidR="00CC6B0A" w:rsidRPr="00FC09E8">
        <w:rPr>
          <w:rFonts w:cs="Arial"/>
        </w:rPr>
        <w:t xml:space="preserve">which </w:t>
      </w:r>
      <w:r w:rsidR="000727AB">
        <w:rPr>
          <w:rFonts w:cs="Arial"/>
        </w:rPr>
        <w:t xml:space="preserve">included a </w:t>
      </w:r>
      <w:r w:rsidR="00630E2C" w:rsidRPr="00FC09E8">
        <w:rPr>
          <w:rFonts w:cs="Arial"/>
        </w:rPr>
        <w:t xml:space="preserve">Council commitment to local creativity and culture, </w:t>
      </w:r>
      <w:r w:rsidRPr="00FC09E8">
        <w:rPr>
          <w:rFonts w:cs="Arial"/>
        </w:rPr>
        <w:t>Council undertook:</w:t>
      </w:r>
    </w:p>
    <w:p w14:paraId="46742543" w14:textId="71204621" w:rsidR="00237013" w:rsidRPr="00FC09E8" w:rsidRDefault="00237013" w:rsidP="00113C99">
      <w:pPr>
        <w:pStyle w:val="ListParagraph"/>
        <w:numPr>
          <w:ilvl w:val="0"/>
          <w:numId w:val="13"/>
        </w:numPr>
        <w:rPr>
          <w:rFonts w:cs="Arial"/>
        </w:rPr>
      </w:pPr>
      <w:r w:rsidRPr="00FC09E8">
        <w:rPr>
          <w:rFonts w:cs="Arial"/>
        </w:rPr>
        <w:t>R</w:t>
      </w:r>
      <w:r w:rsidR="00113C99" w:rsidRPr="00FC09E8">
        <w:rPr>
          <w:rFonts w:cs="Arial"/>
        </w:rPr>
        <w:t xml:space="preserve">esearch into </w:t>
      </w:r>
      <w:r w:rsidRPr="00FC09E8">
        <w:rPr>
          <w:rFonts w:cs="Arial"/>
        </w:rPr>
        <w:t xml:space="preserve">the local </w:t>
      </w:r>
      <w:r w:rsidR="003511BD" w:rsidRPr="00FC09E8">
        <w:rPr>
          <w:rFonts w:cs="Arial"/>
        </w:rPr>
        <w:t>c</w:t>
      </w:r>
      <w:r w:rsidRPr="00FC09E8">
        <w:rPr>
          <w:rFonts w:cs="Arial"/>
        </w:rPr>
        <w:t xml:space="preserve">reative </w:t>
      </w:r>
      <w:r w:rsidR="003511BD" w:rsidRPr="00FC09E8">
        <w:rPr>
          <w:rFonts w:cs="Arial"/>
        </w:rPr>
        <w:t>e</w:t>
      </w:r>
      <w:r w:rsidRPr="00FC09E8">
        <w:rPr>
          <w:rFonts w:cs="Arial"/>
        </w:rPr>
        <w:t>conomy</w:t>
      </w:r>
      <w:r w:rsidR="00E320BA" w:rsidRPr="00FC09E8">
        <w:rPr>
          <w:rFonts w:cs="Arial"/>
        </w:rPr>
        <w:t xml:space="preserve"> (2018)</w:t>
      </w:r>
    </w:p>
    <w:p w14:paraId="0C74BBEB" w14:textId="7C886406" w:rsidR="003D0833" w:rsidRPr="00FC09E8" w:rsidRDefault="00C91A71" w:rsidP="00113C99">
      <w:pPr>
        <w:pStyle w:val="ListParagraph"/>
        <w:numPr>
          <w:ilvl w:val="0"/>
          <w:numId w:val="13"/>
        </w:numPr>
        <w:rPr>
          <w:rFonts w:cs="Arial"/>
        </w:rPr>
      </w:pPr>
      <w:r w:rsidRPr="00FC09E8">
        <w:rPr>
          <w:rFonts w:cs="Arial"/>
        </w:rPr>
        <w:t>Research into local creative spaces, including:</w:t>
      </w:r>
    </w:p>
    <w:p w14:paraId="7559EAC7" w14:textId="4019079D" w:rsidR="003D0833" w:rsidRPr="00FC09E8" w:rsidRDefault="003D0833" w:rsidP="00C91A7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Hyperlink"/>
          <w:rFonts w:cs="Arial"/>
          <w:color w:val="000000"/>
        </w:rPr>
      </w:pPr>
      <w:r w:rsidRPr="00FC09E8">
        <w:rPr>
          <w:rFonts w:cs="Arial"/>
          <w:i/>
          <w:color w:val="000000"/>
        </w:rPr>
        <w:t>Planning Cultural Creation and Production in the Inner West LGA:  A case study needs analysis</w:t>
      </w:r>
      <w:r w:rsidRPr="00FC09E8">
        <w:rPr>
          <w:rFonts w:cs="Arial"/>
          <w:iCs/>
          <w:color w:val="000000"/>
        </w:rPr>
        <w:t xml:space="preserve"> </w:t>
      </w:r>
      <w:r w:rsidRPr="00FC09E8">
        <w:rPr>
          <w:rFonts w:cs="Arial"/>
          <w:color w:val="000000"/>
        </w:rPr>
        <w:t>(</w:t>
      </w:r>
      <w:r w:rsidR="00C91A71" w:rsidRPr="00FC09E8">
        <w:rPr>
          <w:rFonts w:cs="Arial"/>
          <w:color w:val="000000"/>
        </w:rPr>
        <w:t xml:space="preserve">Western Sydney University, </w:t>
      </w:r>
      <w:r w:rsidRPr="00FC09E8">
        <w:rPr>
          <w:rFonts w:cs="Arial"/>
          <w:color w:val="000000"/>
        </w:rPr>
        <w:t>2018)</w:t>
      </w:r>
    </w:p>
    <w:p w14:paraId="1590CE47" w14:textId="26551FD8" w:rsidR="003D0833" w:rsidRPr="00FC09E8" w:rsidRDefault="003D0833" w:rsidP="00C91A71">
      <w:pPr>
        <w:pStyle w:val="ListParagraph"/>
        <w:numPr>
          <w:ilvl w:val="0"/>
          <w:numId w:val="14"/>
        </w:numPr>
        <w:rPr>
          <w:rFonts w:cs="Arial"/>
          <w:color w:val="040000"/>
          <w:sz w:val="21"/>
          <w:szCs w:val="21"/>
        </w:rPr>
      </w:pPr>
      <w:r w:rsidRPr="00FC09E8">
        <w:rPr>
          <w:rFonts w:cs="Arial"/>
          <w:i/>
          <w:color w:val="000000"/>
        </w:rPr>
        <w:t>Creative Spaces and Venues Discussion Paper</w:t>
      </w:r>
      <w:r w:rsidRPr="00FC09E8">
        <w:rPr>
          <w:rFonts w:cs="Arial"/>
          <w:iCs/>
          <w:color w:val="000000"/>
        </w:rPr>
        <w:t xml:space="preserve"> </w:t>
      </w:r>
      <w:r w:rsidRPr="00FC09E8">
        <w:rPr>
          <w:rFonts w:cs="Arial"/>
          <w:color w:val="000000"/>
        </w:rPr>
        <w:t>(</w:t>
      </w:r>
      <w:r w:rsidR="00C91A71" w:rsidRPr="00FC09E8">
        <w:rPr>
          <w:rFonts w:cs="Arial"/>
          <w:color w:val="000000"/>
        </w:rPr>
        <w:t xml:space="preserve">Leftbank and JOC, </w:t>
      </w:r>
      <w:r w:rsidRPr="00FC09E8">
        <w:rPr>
          <w:rFonts w:cs="Arial"/>
          <w:color w:val="000000"/>
        </w:rPr>
        <w:t>2019)</w:t>
      </w:r>
    </w:p>
    <w:p w14:paraId="365CF7EF" w14:textId="5178A5A2" w:rsidR="00A03155" w:rsidRDefault="00495BC8" w:rsidP="00054379">
      <w:pPr>
        <w:rPr>
          <w:rFonts w:cs="Arial"/>
        </w:rPr>
      </w:pPr>
      <w:r w:rsidRPr="00FC09E8">
        <w:rPr>
          <w:rFonts w:cs="Arial"/>
        </w:rPr>
        <w:t xml:space="preserve">Council’s Executive </w:t>
      </w:r>
      <w:r w:rsidR="00834ACD" w:rsidRPr="00FC09E8">
        <w:rPr>
          <w:rFonts w:cs="Arial"/>
        </w:rPr>
        <w:t xml:space="preserve">endorsed the launch of the </w:t>
      </w:r>
      <w:r w:rsidR="004C757B" w:rsidRPr="00FC09E8">
        <w:rPr>
          <w:rFonts w:cs="Arial"/>
        </w:rPr>
        <w:t xml:space="preserve">two </w:t>
      </w:r>
      <w:r w:rsidR="00834ACD" w:rsidRPr="00FC09E8">
        <w:rPr>
          <w:rFonts w:cs="Arial"/>
        </w:rPr>
        <w:t>Creative Spaces research</w:t>
      </w:r>
      <w:r w:rsidR="004C757B" w:rsidRPr="00FC09E8">
        <w:rPr>
          <w:rFonts w:cs="Arial"/>
        </w:rPr>
        <w:t xml:space="preserve"> papers</w:t>
      </w:r>
      <w:r w:rsidR="00834ACD" w:rsidRPr="00FC09E8">
        <w:rPr>
          <w:rFonts w:cs="Arial"/>
        </w:rPr>
        <w:t xml:space="preserve"> in November </w:t>
      </w:r>
      <w:r w:rsidR="00054379" w:rsidRPr="00FC09E8">
        <w:rPr>
          <w:rFonts w:cs="Arial"/>
        </w:rPr>
        <w:t xml:space="preserve">2019 and </w:t>
      </w:r>
      <w:r w:rsidR="004C757B" w:rsidRPr="00FC09E8">
        <w:rPr>
          <w:rFonts w:cs="Arial"/>
        </w:rPr>
        <w:t>initiated</w:t>
      </w:r>
      <w:r w:rsidR="00054379" w:rsidRPr="00FC09E8">
        <w:rPr>
          <w:rFonts w:cs="Arial"/>
        </w:rPr>
        <w:t xml:space="preserve"> the development of a local Creative Industries Economy Strategy.  This </w:t>
      </w:r>
      <w:bookmarkStart w:id="4" w:name="_Engagement_Methods"/>
      <w:bookmarkStart w:id="5" w:name="_Toc49783652"/>
      <w:bookmarkEnd w:id="4"/>
      <w:r w:rsidR="00054379" w:rsidRPr="00FC09E8">
        <w:rPr>
          <w:rFonts w:cs="Arial"/>
        </w:rPr>
        <w:t xml:space="preserve">was then developed into the </w:t>
      </w:r>
      <w:r w:rsidR="00A03155">
        <w:rPr>
          <w:rFonts w:cs="Arial"/>
        </w:rPr>
        <w:t xml:space="preserve">scope for </w:t>
      </w:r>
      <w:r w:rsidR="00054379" w:rsidRPr="00A03155">
        <w:rPr>
          <w:rFonts w:cs="Arial"/>
          <w:i/>
          <w:iCs/>
        </w:rPr>
        <w:t>Creative Inner West: Cultural Strategy</w:t>
      </w:r>
      <w:r w:rsidR="00054379" w:rsidRPr="00FC09E8">
        <w:rPr>
          <w:rFonts w:cs="Arial"/>
        </w:rPr>
        <w:t>.</w:t>
      </w:r>
      <w:r w:rsidR="00A03155">
        <w:rPr>
          <w:rFonts w:cs="Arial"/>
        </w:rPr>
        <w:t xml:space="preserve">  Extensive research and engagement was carried out to develop the Draft </w:t>
      </w:r>
      <w:r w:rsidR="00A03155" w:rsidRPr="00A03155">
        <w:rPr>
          <w:rFonts w:cs="Arial"/>
          <w:i/>
          <w:iCs/>
        </w:rPr>
        <w:t>Creative Inner West: Cultural Strategy</w:t>
      </w:r>
      <w:r w:rsidR="00A03155">
        <w:rPr>
          <w:rFonts w:cs="Arial"/>
        </w:rPr>
        <w:t>.</w:t>
      </w:r>
    </w:p>
    <w:p w14:paraId="788F55B1" w14:textId="6C1E05AE" w:rsidR="00054379" w:rsidRDefault="00A03155" w:rsidP="00054379">
      <w:pPr>
        <w:rPr>
          <w:rFonts w:cs="Arial"/>
        </w:rPr>
      </w:pPr>
      <w:r>
        <w:rPr>
          <w:rFonts w:cs="Arial"/>
        </w:rPr>
        <w:t xml:space="preserve">On 8 June 2021 (C0621 Item 2) Council endorsed the </w:t>
      </w:r>
      <w:r w:rsidRPr="00115619">
        <w:rPr>
          <w:rFonts w:cs="Arial"/>
        </w:rPr>
        <w:t xml:space="preserve">Draft </w:t>
      </w:r>
      <w:r w:rsidRPr="00A03155">
        <w:rPr>
          <w:rFonts w:cs="Arial"/>
          <w:i/>
          <w:iCs/>
        </w:rPr>
        <w:t>Creative Inner West: Cultural Strategy and Action Plan 2021 – 2025</w:t>
      </w:r>
      <w:r w:rsidRPr="00115619">
        <w:rPr>
          <w:rFonts w:cs="Arial"/>
        </w:rPr>
        <w:t xml:space="preserve"> for </w:t>
      </w:r>
      <w:r>
        <w:rPr>
          <w:rFonts w:cs="Arial"/>
        </w:rPr>
        <w:t>p</w:t>
      </w:r>
      <w:r w:rsidRPr="00115619">
        <w:rPr>
          <w:rFonts w:cs="Arial"/>
        </w:rPr>
        <w:t xml:space="preserve">ublic </w:t>
      </w:r>
      <w:r>
        <w:rPr>
          <w:rFonts w:cs="Arial"/>
        </w:rPr>
        <w:t>e</w:t>
      </w:r>
      <w:r w:rsidRPr="00115619">
        <w:rPr>
          <w:rFonts w:cs="Arial"/>
        </w:rPr>
        <w:t>xhibition.</w:t>
      </w:r>
      <w:r>
        <w:rPr>
          <w:rFonts w:cs="Arial"/>
        </w:rPr>
        <w:t xml:space="preserve">  </w:t>
      </w:r>
    </w:p>
    <w:p w14:paraId="56CCDA26" w14:textId="7D734FF3" w:rsidR="001E2089" w:rsidRDefault="001E2089" w:rsidP="00054379">
      <w:pPr>
        <w:rPr>
          <w:rFonts w:cs="Arial"/>
        </w:rPr>
      </w:pPr>
      <w:r>
        <w:rPr>
          <w:rFonts w:cs="Arial"/>
        </w:rPr>
        <w:t>This Report details the engagement and outcomes of public exhibition (Phase 6).</w:t>
      </w:r>
    </w:p>
    <w:p w14:paraId="6A82EF95" w14:textId="77777777" w:rsidR="00A57AA7" w:rsidRPr="00FC09E8" w:rsidRDefault="00A57AA7" w:rsidP="00054379">
      <w:pPr>
        <w:rPr>
          <w:rFonts w:cs="Arial"/>
        </w:rPr>
      </w:pPr>
    </w:p>
    <w:p w14:paraId="5FC2B366" w14:textId="04E24C22" w:rsidR="008225C5" w:rsidRPr="00FC09E8" w:rsidRDefault="00E562CB" w:rsidP="00054379">
      <w:pPr>
        <w:rPr>
          <w:rFonts w:cs="Arial"/>
          <w:sz w:val="44"/>
          <w:szCs w:val="44"/>
        </w:rPr>
      </w:pPr>
      <w:r w:rsidRPr="00FC09E8">
        <w:rPr>
          <w:rFonts w:cs="Arial"/>
          <w:sz w:val="44"/>
          <w:szCs w:val="44"/>
        </w:rPr>
        <w:t>Engagement Methods</w:t>
      </w:r>
      <w:bookmarkEnd w:id="5"/>
    </w:p>
    <w:p w14:paraId="1EF52C59" w14:textId="0FD0A7BF" w:rsidR="00985F9F" w:rsidRDefault="00A435A5" w:rsidP="0086166D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Meeting</w:t>
      </w:r>
      <w:r w:rsidR="00A57AA7">
        <w:rPr>
          <w:rFonts w:cs="Arial"/>
        </w:rPr>
        <w:t xml:space="preserve"> with </w:t>
      </w:r>
      <w:r w:rsidR="00E833D9" w:rsidRPr="00FC09E8">
        <w:rPr>
          <w:rFonts w:cs="Arial"/>
        </w:rPr>
        <w:t>Local Democracy Groups</w:t>
      </w:r>
      <w:r w:rsidR="003A3C9A" w:rsidRPr="00FC09E8">
        <w:rPr>
          <w:rFonts w:cs="Arial"/>
        </w:rPr>
        <w:t>:  Arts and Cultural Committee; Aboriginal and Torres Strait Islander Committee; Access Committee</w:t>
      </w:r>
      <w:r w:rsidR="005D45E8">
        <w:rPr>
          <w:rFonts w:cs="Arial"/>
        </w:rPr>
        <w:t>; Multicultural Advisory Committee</w:t>
      </w:r>
    </w:p>
    <w:p w14:paraId="48C1D9D0" w14:textId="0F71FA91" w:rsidR="00E833D9" w:rsidRDefault="00A435A5" w:rsidP="0086166D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Meeting with</w:t>
      </w:r>
      <w:r w:rsidR="00985F9F">
        <w:rPr>
          <w:rFonts w:cs="Arial"/>
        </w:rPr>
        <w:t xml:space="preserve"> Council Working Groups: Youth</w:t>
      </w:r>
      <w:r w:rsidR="00ED28EF">
        <w:rPr>
          <w:rFonts w:cs="Arial"/>
        </w:rPr>
        <w:t>; LGBTIQ</w:t>
      </w:r>
      <w:r w:rsidR="003A3C9A" w:rsidRPr="00FC09E8">
        <w:rPr>
          <w:rFonts w:cs="Arial"/>
        </w:rPr>
        <w:t xml:space="preserve"> </w:t>
      </w:r>
    </w:p>
    <w:p w14:paraId="22A63909" w14:textId="02052DA4" w:rsidR="00A435A5" w:rsidRDefault="00A435A5" w:rsidP="0086166D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Your Say Inner West survey</w:t>
      </w:r>
    </w:p>
    <w:p w14:paraId="1BB49604" w14:textId="3841158D" w:rsidR="00A27415" w:rsidRDefault="00A27415" w:rsidP="0086166D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Email and phone conversations</w:t>
      </w:r>
    </w:p>
    <w:p w14:paraId="2B9FE92E" w14:textId="661BCE83" w:rsidR="00133ACF" w:rsidRDefault="00A435A5" w:rsidP="00A86164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 w:rsidRPr="00CD6857">
        <w:rPr>
          <w:rFonts w:cs="Arial"/>
        </w:rPr>
        <w:t>Social media</w:t>
      </w:r>
      <w:r w:rsidR="00661676">
        <w:rPr>
          <w:rFonts w:cs="Arial"/>
        </w:rPr>
        <w:t xml:space="preserve"> engagement</w:t>
      </w:r>
      <w:r w:rsidR="00CD6857" w:rsidRPr="00CD6857">
        <w:rPr>
          <w:rFonts w:cs="Arial"/>
        </w:rPr>
        <w:t xml:space="preserve"> (likes, comments etc) </w:t>
      </w:r>
    </w:p>
    <w:p w14:paraId="31BFA4F7" w14:textId="77777777" w:rsidR="00A27415" w:rsidRDefault="00A27415" w:rsidP="00A27415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Summary of Draft Strategy and invitation to comment translated into 5 community languages</w:t>
      </w:r>
    </w:p>
    <w:p w14:paraId="0CA6325E" w14:textId="50D8FA45" w:rsidR="00E42349" w:rsidRPr="00407B75" w:rsidRDefault="00E42349" w:rsidP="00407B75">
      <w:pPr>
        <w:spacing w:before="240"/>
        <w:rPr>
          <w:rFonts w:cs="Arial"/>
        </w:rPr>
      </w:pPr>
    </w:p>
    <w:p w14:paraId="74CB755F" w14:textId="0331EA91" w:rsidR="007B4584" w:rsidRPr="00FC09E8" w:rsidRDefault="00A57AA7" w:rsidP="000C44F3">
      <w:pPr>
        <w:pStyle w:val="Heading1"/>
        <w:rPr>
          <w:rFonts w:cs="Arial"/>
        </w:rPr>
      </w:pPr>
      <w:bookmarkStart w:id="6" w:name="_Promotion"/>
      <w:bookmarkStart w:id="7" w:name="_Toc49783653"/>
      <w:bookmarkEnd w:id="6"/>
      <w:r w:rsidRPr="00FC09E8">
        <w:rPr>
          <w:rFonts w:cs="Arial"/>
          <w:noProof/>
        </w:rPr>
        <w:drawing>
          <wp:anchor distT="0" distB="0" distL="114300" distR="114300" simplePos="0" relativeHeight="251636736" behindDoc="1" locked="0" layoutInCell="1" allowOverlap="1" wp14:anchorId="7F148EBA" wp14:editId="2D006104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77990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269" y="21441"/>
                <wp:lineTo x="21269" y="0"/>
                <wp:lineTo x="0" y="0"/>
              </wp:wrapPolygon>
            </wp:wrapTight>
            <wp:docPr id="4" name="Picture 4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electron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584" w:rsidRPr="00FC09E8">
        <w:rPr>
          <w:rFonts w:cs="Arial"/>
        </w:rPr>
        <w:t>Promotion</w:t>
      </w:r>
      <w:bookmarkEnd w:id="7"/>
      <w:r w:rsidR="00327B37" w:rsidRPr="00FC09E8">
        <w:rPr>
          <w:rFonts w:cs="Arial"/>
        </w:rPr>
        <w:t xml:space="preserve"> </w:t>
      </w:r>
    </w:p>
    <w:p w14:paraId="0F371AA8" w14:textId="77777777" w:rsidR="00A435A5" w:rsidRDefault="00A435A5" w:rsidP="00A435A5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Flyer in letterbox requesting feedback during Public Exhibition</w:t>
      </w:r>
    </w:p>
    <w:p w14:paraId="500654AE" w14:textId="77777777" w:rsidR="00A435A5" w:rsidRDefault="00A435A5" w:rsidP="00A435A5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Social media campaign</w:t>
      </w:r>
    </w:p>
    <w:p w14:paraId="1DEB8A27" w14:textId="77777777" w:rsidR="00A435A5" w:rsidRDefault="00A435A5" w:rsidP="00A435A5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Living Arts e-newsletter (1500+)</w:t>
      </w:r>
    </w:p>
    <w:p w14:paraId="3C0DDDF2" w14:textId="77777777" w:rsidR="00E9067D" w:rsidRPr="00FC09E8" w:rsidRDefault="00E9067D" w:rsidP="00E9067D">
      <w:pPr>
        <w:pStyle w:val="ListParagraph"/>
        <w:spacing w:before="240"/>
        <w:rPr>
          <w:rFonts w:cs="Arial"/>
        </w:rPr>
      </w:pPr>
    </w:p>
    <w:p w14:paraId="03C17D9D" w14:textId="593FA836" w:rsidR="0088219F" w:rsidRPr="00FC09E8" w:rsidRDefault="0088219F" w:rsidP="0088219F">
      <w:pPr>
        <w:spacing w:before="240"/>
        <w:rPr>
          <w:rFonts w:cs="Arial"/>
        </w:rPr>
      </w:pPr>
    </w:p>
    <w:p w14:paraId="5C51B170" w14:textId="0E6EC79F" w:rsidR="0088219F" w:rsidRPr="00FC09E8" w:rsidRDefault="0088219F" w:rsidP="0088219F">
      <w:pPr>
        <w:spacing w:before="240"/>
        <w:rPr>
          <w:rFonts w:cs="Arial"/>
        </w:rPr>
      </w:pPr>
    </w:p>
    <w:p w14:paraId="4AECDA08" w14:textId="4C5493F4" w:rsidR="0088219F" w:rsidRPr="00FC09E8" w:rsidRDefault="0088219F" w:rsidP="0088219F">
      <w:pPr>
        <w:spacing w:before="240"/>
        <w:rPr>
          <w:rFonts w:cs="Arial"/>
        </w:rPr>
      </w:pPr>
    </w:p>
    <w:p w14:paraId="63BCDBBE" w14:textId="7CBD56C7" w:rsidR="0088219F" w:rsidRPr="00FC09E8" w:rsidRDefault="0088219F" w:rsidP="0088219F">
      <w:pPr>
        <w:spacing w:before="240"/>
        <w:rPr>
          <w:rFonts w:cs="Arial"/>
        </w:rPr>
      </w:pPr>
    </w:p>
    <w:p w14:paraId="06B712AC" w14:textId="4A092447" w:rsidR="00203F59" w:rsidRDefault="00203F59">
      <w:pPr>
        <w:rPr>
          <w:rFonts w:cs="Arial"/>
        </w:rPr>
      </w:pPr>
      <w:r>
        <w:rPr>
          <w:rFonts w:cs="Arial"/>
        </w:rPr>
        <w:br w:type="page"/>
      </w:r>
    </w:p>
    <w:p w14:paraId="66781FF4" w14:textId="263B12E3" w:rsidR="00AB3DC0" w:rsidRDefault="00A27415" w:rsidP="00AC2FE6">
      <w:pPr>
        <w:pStyle w:val="Heading1"/>
        <w:rPr>
          <w:rFonts w:cs="Arial"/>
        </w:rPr>
      </w:pPr>
      <w:bookmarkStart w:id="8" w:name="_Engagement_outcomes"/>
      <w:bookmarkStart w:id="9" w:name="_Toc49783654"/>
      <w:bookmarkEnd w:id="8"/>
      <w:r>
        <w:rPr>
          <w:rFonts w:cs="Arial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0E431C98" wp14:editId="502E45E7">
            <wp:simplePos x="0" y="0"/>
            <wp:positionH relativeFrom="margin">
              <wp:posOffset>4851400</wp:posOffset>
            </wp:positionH>
            <wp:positionV relativeFrom="paragraph">
              <wp:posOffset>1905</wp:posOffset>
            </wp:positionV>
            <wp:extent cx="1162050" cy="2336165"/>
            <wp:effectExtent l="0" t="0" r="0" b="6985"/>
            <wp:wrapSquare wrapText="bothSides"/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9AF" w:rsidRPr="00FC09E8">
        <w:rPr>
          <w:rFonts w:cs="Arial"/>
        </w:rPr>
        <w:t>E</w:t>
      </w:r>
      <w:r w:rsidR="00AB3DC0" w:rsidRPr="00FC09E8">
        <w:rPr>
          <w:rFonts w:cs="Arial"/>
        </w:rPr>
        <w:t>ngagement outcomes</w:t>
      </w:r>
      <w:bookmarkEnd w:id="9"/>
    </w:p>
    <w:p w14:paraId="3AAE01DC" w14:textId="59A3BBC5" w:rsidR="001B1F38" w:rsidRPr="001B1F38" w:rsidRDefault="001B1F38" w:rsidP="001B1F38"/>
    <w:p w14:paraId="570010C1" w14:textId="38D032D6" w:rsidR="00D5638D" w:rsidRDefault="00D5638D" w:rsidP="00D5638D">
      <w:pPr>
        <w:spacing w:before="240"/>
        <w:rPr>
          <w:rStyle w:val="Heading3Char"/>
          <w:rFonts w:cs="Arial"/>
          <w:b/>
          <w:bCs/>
          <w:sz w:val="22"/>
          <w:szCs w:val="22"/>
        </w:rPr>
      </w:pPr>
      <w:bookmarkStart w:id="10" w:name="_Toc49783655"/>
      <w:r w:rsidRPr="00D5638D">
        <w:rPr>
          <w:rStyle w:val="Heading3Char"/>
          <w:rFonts w:cs="Arial"/>
          <w:b/>
          <w:bCs/>
          <w:sz w:val="22"/>
          <w:szCs w:val="22"/>
        </w:rPr>
        <w:t>Public Exhibition</w:t>
      </w:r>
    </w:p>
    <w:p w14:paraId="7B0A9A2F" w14:textId="57867CF1" w:rsidR="00D5638D" w:rsidRDefault="00D5638D" w:rsidP="00D5638D">
      <w:pPr>
        <w:spacing w:after="120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There were 60 responses through Your Say Inner West.  Of these:</w:t>
      </w:r>
    </w:p>
    <w:p w14:paraId="60C9F6AE" w14:textId="1D6E5266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 w:rsidRPr="00437EE5">
        <w:rPr>
          <w:rFonts w:cs="Arial"/>
          <w:color w:val="000000"/>
          <w:lang w:val="en-US" w:eastAsia="en-AU"/>
        </w:rPr>
        <w:t xml:space="preserve">80% of respondents support </w:t>
      </w:r>
      <w:r>
        <w:rPr>
          <w:rFonts w:cs="Arial"/>
          <w:color w:val="000000"/>
          <w:lang w:val="en-US" w:eastAsia="en-AU"/>
        </w:rPr>
        <w:t>Creative Inner West:</w:t>
      </w:r>
      <w:r w:rsidRPr="00437EE5">
        <w:rPr>
          <w:rFonts w:cs="Arial"/>
          <w:color w:val="000000"/>
          <w:lang w:val="en-US" w:eastAsia="en-AU"/>
        </w:rPr>
        <w:t xml:space="preserve"> Cultural Strategy</w:t>
      </w:r>
    </w:p>
    <w:p w14:paraId="3F0969EC" w14:textId="2B002421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17% of respondents support Creative Inner West: Cultural Strategy with changes</w:t>
      </w:r>
    </w:p>
    <w:p w14:paraId="67314E1C" w14:textId="257C26B0" w:rsidR="00D5638D" w:rsidRPr="00437EE5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 xml:space="preserve">3% of respondents do not support Creative Inner West: Cultural Strategy </w:t>
      </w:r>
    </w:p>
    <w:p w14:paraId="698E7E08" w14:textId="17CA59C4" w:rsidR="00D5638D" w:rsidRDefault="00D5638D" w:rsidP="00D5638D">
      <w:pPr>
        <w:spacing w:after="120"/>
        <w:jc w:val="both"/>
        <w:rPr>
          <w:rFonts w:cs="Arial"/>
          <w:color w:val="000000"/>
          <w:lang w:val="en-US" w:eastAsia="en-AU"/>
        </w:rPr>
      </w:pPr>
    </w:p>
    <w:p w14:paraId="1A85EE65" w14:textId="2E9E723E" w:rsidR="00D5638D" w:rsidRPr="00B44683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 w:rsidRPr="00B44683">
        <w:rPr>
          <w:rFonts w:cs="Arial"/>
          <w:color w:val="000000"/>
          <w:lang w:val="en-US" w:eastAsia="en-AU"/>
        </w:rPr>
        <w:t xml:space="preserve">Each of the 5 </w:t>
      </w:r>
      <w:r w:rsidR="0045035C">
        <w:rPr>
          <w:rFonts w:cs="Arial"/>
          <w:color w:val="000000"/>
          <w:lang w:val="en-US" w:eastAsia="en-AU"/>
        </w:rPr>
        <w:t>Focus Areas</w:t>
      </w:r>
      <w:r w:rsidRPr="00B44683">
        <w:rPr>
          <w:rFonts w:cs="Arial"/>
          <w:color w:val="000000"/>
          <w:lang w:val="en-US" w:eastAsia="en-AU"/>
        </w:rPr>
        <w:t xml:space="preserve"> also had above 80% moderate, strong or complete support </w:t>
      </w:r>
    </w:p>
    <w:p w14:paraId="1F176B57" w14:textId="77777777" w:rsidR="00D5638D" w:rsidRPr="00B44683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 w:rsidRPr="00B44683">
        <w:rPr>
          <w:rFonts w:cs="Arial"/>
          <w:color w:val="000000"/>
          <w:lang w:val="en-US" w:eastAsia="en-AU"/>
        </w:rPr>
        <w:t>The definition of culture also had above 80% support for use without changes.</w:t>
      </w:r>
    </w:p>
    <w:p w14:paraId="607DA97E" w14:textId="77777777" w:rsidR="00D5638D" w:rsidRPr="00B44683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 w:rsidRPr="00B44683">
        <w:rPr>
          <w:rFonts w:cs="Arial"/>
          <w:color w:val="000000"/>
          <w:lang w:val="en-US" w:eastAsia="en-AU"/>
        </w:rPr>
        <w:t>Of YSIW respondent, 7% were Aboriginal or Torres Strait Islander, 7% identified as having a disability and 20% spoke a language other than English at home.</w:t>
      </w:r>
    </w:p>
    <w:p w14:paraId="4FDC2C27" w14:textId="05D54133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 w:rsidRPr="00B44683">
        <w:rPr>
          <w:rFonts w:cs="Arial"/>
          <w:color w:val="000000"/>
          <w:lang w:val="en-US" w:eastAsia="en-AU"/>
        </w:rPr>
        <w:t>55% of respondents were residents, 3% were business owners, 15% were makers/creators, and 2% were visitors</w:t>
      </w:r>
    </w:p>
    <w:p w14:paraId="1807DBED" w14:textId="77777777" w:rsidR="009D2026" w:rsidRPr="009D2026" w:rsidRDefault="009D2026" w:rsidP="009D2026">
      <w:pPr>
        <w:spacing w:after="120" w:line="240" w:lineRule="auto"/>
        <w:jc w:val="both"/>
        <w:rPr>
          <w:rFonts w:cs="Arial"/>
          <w:color w:val="000000"/>
          <w:lang w:val="en-US" w:eastAsia="en-AU"/>
        </w:rPr>
      </w:pPr>
    </w:p>
    <w:p w14:paraId="4C96A4CA" w14:textId="568C8287" w:rsidR="00D5638D" w:rsidRDefault="00D5638D" w:rsidP="00D5638D">
      <w:pPr>
        <w:spacing w:after="120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Additional feedback</w:t>
      </w:r>
      <w:r w:rsidR="009042F4">
        <w:rPr>
          <w:rFonts w:cs="Arial"/>
          <w:color w:val="000000"/>
          <w:lang w:val="en-US" w:eastAsia="en-AU"/>
        </w:rPr>
        <w:t xml:space="preserve"> was received from</w:t>
      </w:r>
      <w:r>
        <w:rPr>
          <w:rFonts w:cs="Arial"/>
          <w:color w:val="000000"/>
          <w:lang w:val="en-US" w:eastAsia="en-AU"/>
        </w:rPr>
        <w:t>:</w:t>
      </w:r>
    </w:p>
    <w:p w14:paraId="4A3CC44E" w14:textId="1EE74AD6" w:rsidR="00D5638D" w:rsidRDefault="00CA7F5A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13</w:t>
      </w:r>
      <w:r w:rsidR="00106488">
        <w:rPr>
          <w:rFonts w:cs="Arial"/>
          <w:color w:val="000000"/>
          <w:lang w:val="en-US" w:eastAsia="en-AU"/>
        </w:rPr>
        <w:t xml:space="preserve"> d</w:t>
      </w:r>
      <w:r w:rsidR="00D5638D">
        <w:rPr>
          <w:rFonts w:cs="Arial"/>
          <w:color w:val="000000"/>
          <w:lang w:val="en-US" w:eastAsia="en-AU"/>
        </w:rPr>
        <w:t>irect emails, including one submission from an organisation</w:t>
      </w:r>
    </w:p>
    <w:p w14:paraId="1843C5E5" w14:textId="77777777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1 phone call</w:t>
      </w:r>
    </w:p>
    <w:p w14:paraId="7B0BA8B2" w14:textId="77777777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Council’s Aboriginal and Torres Strait Islander Committee</w:t>
      </w:r>
    </w:p>
    <w:p w14:paraId="0953B1F3" w14:textId="77777777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Council’s Arts and Cultural Advisory Committee</w:t>
      </w:r>
    </w:p>
    <w:p w14:paraId="6ADE5F5D" w14:textId="77777777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Council’s Multicultural Advisory Committee</w:t>
      </w:r>
    </w:p>
    <w:p w14:paraId="6FFD5371" w14:textId="77777777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Council’s Access Committee</w:t>
      </w:r>
    </w:p>
    <w:p w14:paraId="6476FC2D" w14:textId="77777777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Council’s Youth Working Group</w:t>
      </w:r>
    </w:p>
    <w:p w14:paraId="43B53A5E" w14:textId="421BCF9F" w:rsidR="00D5638D" w:rsidRDefault="00D5638D" w:rsidP="00D5638D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Council’s LGBTIQ Working Group</w:t>
      </w:r>
    </w:p>
    <w:p w14:paraId="437CEA36" w14:textId="28F3458D" w:rsidR="009D2026" w:rsidRPr="009D2026" w:rsidRDefault="00A34758" w:rsidP="009D2026">
      <w:pPr>
        <w:pStyle w:val="ListParagraph"/>
        <w:numPr>
          <w:ilvl w:val="0"/>
          <w:numId w:val="36"/>
        </w:numPr>
        <w:spacing w:after="120"/>
        <w:jc w:val="both"/>
        <w:rPr>
          <w:rFonts w:cs="Arial"/>
          <w:color w:val="000000"/>
          <w:lang w:val="en-US" w:eastAsia="en-AU"/>
        </w:rPr>
      </w:pPr>
      <w:r w:rsidRPr="009D2026">
        <w:rPr>
          <w:rFonts w:cs="Arial"/>
          <w:color w:val="000000"/>
          <w:lang w:val="en-US" w:eastAsia="en-AU"/>
        </w:rPr>
        <w:t>Social media</w:t>
      </w:r>
      <w:r w:rsidR="009D2026">
        <w:rPr>
          <w:rFonts w:cs="Arial"/>
          <w:color w:val="000000"/>
          <w:lang w:val="en-US" w:eastAsia="en-AU"/>
        </w:rPr>
        <w:t xml:space="preserve">/ </w:t>
      </w:r>
      <w:r w:rsidRPr="009D2026">
        <w:rPr>
          <w:rFonts w:cs="Arial"/>
          <w:color w:val="000000"/>
          <w:lang w:val="en-US" w:eastAsia="en-AU"/>
        </w:rPr>
        <w:t>Facebook</w:t>
      </w:r>
      <w:r w:rsidR="009D2026" w:rsidRPr="009D2026">
        <w:rPr>
          <w:rFonts w:cs="Arial"/>
          <w:color w:val="000000"/>
          <w:lang w:val="en-US" w:eastAsia="en-AU"/>
        </w:rPr>
        <w:t xml:space="preserve">: 83 </w:t>
      </w:r>
      <w:r w:rsidR="009D2026">
        <w:rPr>
          <w:rFonts w:cs="Arial"/>
          <w:color w:val="000000"/>
          <w:lang w:val="en-US" w:eastAsia="en-AU"/>
        </w:rPr>
        <w:t>l</w:t>
      </w:r>
      <w:r w:rsidR="009D2026" w:rsidRPr="009D2026">
        <w:rPr>
          <w:rFonts w:cs="Arial"/>
          <w:color w:val="000000"/>
          <w:lang w:val="en-US" w:eastAsia="en-AU"/>
        </w:rPr>
        <w:t>ikes/ loves, 17 comments, 6 shares</w:t>
      </w:r>
    </w:p>
    <w:p w14:paraId="3FF8D237" w14:textId="2A31FFBF" w:rsidR="00A34758" w:rsidRDefault="00A34758" w:rsidP="009D2026">
      <w:pPr>
        <w:pStyle w:val="ListParagraph"/>
        <w:spacing w:after="120" w:line="240" w:lineRule="auto"/>
        <w:jc w:val="both"/>
        <w:rPr>
          <w:rFonts w:cs="Arial"/>
          <w:color w:val="000000"/>
          <w:lang w:val="en-US" w:eastAsia="en-AU"/>
        </w:rPr>
      </w:pPr>
    </w:p>
    <w:p w14:paraId="57C3FFD6" w14:textId="2CD127A1" w:rsidR="0045035C" w:rsidRDefault="0045035C" w:rsidP="00280459">
      <w:pPr>
        <w:pStyle w:val="Heading1"/>
        <w:rPr>
          <w:rFonts w:cs="Arial"/>
        </w:rPr>
      </w:pPr>
      <w:bookmarkStart w:id="11" w:name="_Responding_to_the"/>
      <w:bookmarkStart w:id="12" w:name="_Hlk50556212"/>
      <w:bookmarkEnd w:id="10"/>
      <w:bookmarkEnd w:id="11"/>
    </w:p>
    <w:p w14:paraId="0154A920" w14:textId="77777777" w:rsidR="0045035C" w:rsidRDefault="0045035C">
      <w:pPr>
        <w:rPr>
          <w:rFonts w:eastAsiaTheme="majorEastAsia" w:cs="Arial"/>
          <w:sz w:val="44"/>
          <w:szCs w:val="32"/>
        </w:rPr>
      </w:pPr>
      <w:r>
        <w:rPr>
          <w:rFonts w:cs="Arial"/>
        </w:rPr>
        <w:br w:type="page"/>
      </w:r>
    </w:p>
    <w:p w14:paraId="089E6732" w14:textId="27E8E620" w:rsidR="00F839C2" w:rsidRDefault="0045035C" w:rsidP="00280459">
      <w:pPr>
        <w:pStyle w:val="Heading1"/>
        <w:rPr>
          <w:rFonts w:cs="Arial"/>
        </w:rPr>
      </w:pPr>
      <w:r>
        <w:rPr>
          <w:rFonts w:cs="Arial"/>
        </w:rPr>
        <w:t>O</w:t>
      </w:r>
      <w:r w:rsidR="00575AB6" w:rsidRPr="00FC09E8">
        <w:rPr>
          <w:rFonts w:cs="Arial"/>
        </w:rPr>
        <w:t xml:space="preserve">fficer </w:t>
      </w:r>
      <w:r w:rsidR="006B5510" w:rsidRPr="00FC09E8">
        <w:rPr>
          <w:rFonts w:cs="Arial"/>
        </w:rPr>
        <w:t>c</w:t>
      </w:r>
      <w:r w:rsidR="00575AB6" w:rsidRPr="00FC09E8">
        <w:rPr>
          <w:rFonts w:cs="Arial"/>
        </w:rPr>
        <w:t>omments</w:t>
      </w:r>
      <w:r w:rsidR="004718CA" w:rsidRPr="00FC09E8">
        <w:rPr>
          <w:rFonts w:cs="Arial"/>
        </w:rPr>
        <w:t xml:space="preserve"> </w:t>
      </w:r>
      <w:r w:rsidR="00E41229" w:rsidRPr="00FC09E8">
        <w:rPr>
          <w:rFonts w:cs="Arial"/>
        </w:rPr>
        <w:t xml:space="preserve">in response </w:t>
      </w:r>
      <w:r w:rsidR="004718CA" w:rsidRPr="00FC09E8">
        <w:rPr>
          <w:rFonts w:cs="Arial"/>
        </w:rPr>
        <w:t>to public exhibition</w:t>
      </w:r>
    </w:p>
    <w:p w14:paraId="4ADD4CD0" w14:textId="26D8957D" w:rsidR="00F40574" w:rsidRDefault="00F40574" w:rsidP="00F40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640"/>
        <w:gridCol w:w="3020"/>
      </w:tblGrid>
      <w:tr w:rsidR="00F40574" w:rsidRPr="00F40574" w14:paraId="46622473" w14:textId="77777777" w:rsidTr="001F5A8E">
        <w:trPr>
          <w:trHeight w:val="588"/>
        </w:trPr>
        <w:tc>
          <w:tcPr>
            <w:tcW w:w="2000" w:type="dxa"/>
            <w:hideMark/>
          </w:tcPr>
          <w:p w14:paraId="17375DC7" w14:textId="77777777" w:rsidR="00F40574" w:rsidRPr="00F40574" w:rsidRDefault="00F40574" w:rsidP="00F40574">
            <w:pPr>
              <w:spacing w:after="160" w:line="259" w:lineRule="auto"/>
              <w:rPr>
                <w:b/>
                <w:bCs/>
              </w:rPr>
            </w:pPr>
            <w:r w:rsidRPr="00F40574">
              <w:rPr>
                <w:b/>
                <w:bCs/>
              </w:rPr>
              <w:t xml:space="preserve">Theme </w:t>
            </w:r>
          </w:p>
        </w:tc>
        <w:tc>
          <w:tcPr>
            <w:tcW w:w="2640" w:type="dxa"/>
            <w:hideMark/>
          </w:tcPr>
          <w:p w14:paraId="42156207" w14:textId="77777777" w:rsidR="00F40574" w:rsidRPr="00F40574" w:rsidRDefault="00F40574" w:rsidP="00F40574">
            <w:pPr>
              <w:spacing w:after="160" w:line="259" w:lineRule="auto"/>
              <w:rPr>
                <w:b/>
                <w:bCs/>
              </w:rPr>
            </w:pPr>
            <w:r w:rsidRPr="00F40574">
              <w:rPr>
                <w:b/>
                <w:bCs/>
              </w:rPr>
              <w:t>Change to Strategy:</w:t>
            </w:r>
          </w:p>
        </w:tc>
        <w:tc>
          <w:tcPr>
            <w:tcW w:w="3020" w:type="dxa"/>
            <w:noWrap/>
            <w:hideMark/>
          </w:tcPr>
          <w:p w14:paraId="495E6C00" w14:textId="77777777" w:rsidR="00F40574" w:rsidRPr="00F40574" w:rsidRDefault="00F40574" w:rsidP="00F40574">
            <w:pPr>
              <w:spacing w:after="160" w:line="259" w:lineRule="auto"/>
              <w:rPr>
                <w:b/>
                <w:bCs/>
              </w:rPr>
            </w:pPr>
            <w:r w:rsidRPr="00F40574">
              <w:rPr>
                <w:b/>
                <w:bCs/>
              </w:rPr>
              <w:t>Change to Action Plan:</w:t>
            </w:r>
          </w:p>
        </w:tc>
      </w:tr>
      <w:tr w:rsidR="00F40574" w:rsidRPr="00F40574" w14:paraId="6815B12E" w14:textId="77777777" w:rsidTr="00F40574">
        <w:trPr>
          <w:trHeight w:val="850"/>
        </w:trPr>
        <w:tc>
          <w:tcPr>
            <w:tcW w:w="2000" w:type="dxa"/>
            <w:hideMark/>
          </w:tcPr>
          <w:p w14:paraId="3E1D318F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24 hour economy</w:t>
            </w:r>
          </w:p>
        </w:tc>
        <w:tc>
          <w:tcPr>
            <w:tcW w:w="2640" w:type="dxa"/>
            <w:hideMark/>
          </w:tcPr>
          <w:p w14:paraId="0103165E" w14:textId="0BD2966E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Focus Area 3: </w:t>
            </w:r>
            <w:r w:rsidR="00CB377E">
              <w:t xml:space="preserve">Added </w:t>
            </w:r>
            <w:r w:rsidRPr="00F40574">
              <w:t>Special Entertainment Precinct Pilot</w:t>
            </w:r>
          </w:p>
        </w:tc>
        <w:tc>
          <w:tcPr>
            <w:tcW w:w="3020" w:type="dxa"/>
            <w:hideMark/>
          </w:tcPr>
          <w:p w14:paraId="6E7DB856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Added Special Entertainment Precinct (3.4.4)</w:t>
            </w:r>
          </w:p>
        </w:tc>
      </w:tr>
      <w:tr w:rsidR="00F40574" w:rsidRPr="00F40574" w14:paraId="1F923272" w14:textId="77777777" w:rsidTr="00F40574">
        <w:trPr>
          <w:trHeight w:val="1970"/>
        </w:trPr>
        <w:tc>
          <w:tcPr>
            <w:tcW w:w="2000" w:type="dxa"/>
            <w:hideMark/>
          </w:tcPr>
          <w:p w14:paraId="233B1358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Aboriginal culture</w:t>
            </w:r>
          </w:p>
        </w:tc>
        <w:tc>
          <w:tcPr>
            <w:tcW w:w="2640" w:type="dxa"/>
            <w:hideMark/>
          </w:tcPr>
          <w:p w14:paraId="2C61E472" w14:textId="26B6EE0F" w:rsidR="00F40574" w:rsidRPr="00F40574" w:rsidRDefault="00F40574" w:rsidP="00F40574">
            <w:pPr>
              <w:spacing w:after="160" w:line="259" w:lineRule="auto"/>
            </w:pPr>
            <w:r w:rsidRPr="00F40574">
              <w:t>Focus Area 1</w:t>
            </w:r>
            <w:r>
              <w:t xml:space="preserve">: </w:t>
            </w:r>
            <w:r w:rsidR="00F96C8C">
              <w:t>Added “on country”, strengthened Aboriginal justice</w:t>
            </w:r>
          </w:p>
        </w:tc>
        <w:tc>
          <w:tcPr>
            <w:tcW w:w="3020" w:type="dxa"/>
            <w:hideMark/>
          </w:tcPr>
          <w:p w14:paraId="4285BC36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Added Intellectual Property Framework (1.1.2); Aboriginal Naming Policy (1.1.3); Gadigal Wangal Wayfinding (1.3.2); early childhood (1.3.3); Teaching on Country (1.3)</w:t>
            </w:r>
          </w:p>
        </w:tc>
      </w:tr>
      <w:tr w:rsidR="00F40574" w:rsidRPr="00F40574" w14:paraId="5036E2F9" w14:textId="77777777" w:rsidTr="00F40574">
        <w:trPr>
          <w:trHeight w:val="2810"/>
        </w:trPr>
        <w:tc>
          <w:tcPr>
            <w:tcW w:w="2000" w:type="dxa"/>
            <w:hideMark/>
          </w:tcPr>
          <w:p w14:paraId="46A5F630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Activating neighbourhoods </w:t>
            </w:r>
          </w:p>
        </w:tc>
        <w:tc>
          <w:tcPr>
            <w:tcW w:w="2640" w:type="dxa"/>
            <w:hideMark/>
          </w:tcPr>
          <w:p w14:paraId="67E260CF" w14:textId="2F456239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Focus Area 3: Added mainstreet activations </w:t>
            </w:r>
          </w:p>
        </w:tc>
        <w:tc>
          <w:tcPr>
            <w:tcW w:w="3020" w:type="dxa"/>
            <w:hideMark/>
          </w:tcPr>
          <w:p w14:paraId="72A8C913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Added Mainstreet activation (3.3.7). Also considered as part of Inner West Fest, EDGE and Outdoor Dining Guidelines/ Public Activation Strategy</w:t>
            </w:r>
          </w:p>
        </w:tc>
      </w:tr>
      <w:tr w:rsidR="00F40574" w:rsidRPr="00F40574" w14:paraId="38332EBA" w14:textId="77777777" w:rsidTr="00F40574">
        <w:trPr>
          <w:trHeight w:val="940"/>
        </w:trPr>
        <w:tc>
          <w:tcPr>
            <w:tcW w:w="2000" w:type="dxa"/>
            <w:hideMark/>
          </w:tcPr>
          <w:p w14:paraId="64AE5B13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Affordable housing</w:t>
            </w:r>
          </w:p>
        </w:tc>
        <w:tc>
          <w:tcPr>
            <w:tcW w:w="2640" w:type="dxa"/>
            <w:hideMark/>
          </w:tcPr>
          <w:p w14:paraId="0FE8C1F8" w14:textId="77777777" w:rsidR="00F40574" w:rsidRPr="00F40574" w:rsidRDefault="00F40574" w:rsidP="00F40574">
            <w:pPr>
              <w:spacing w:after="160" w:line="259" w:lineRule="auto"/>
            </w:pPr>
          </w:p>
        </w:tc>
        <w:tc>
          <w:tcPr>
            <w:tcW w:w="3020" w:type="dxa"/>
            <w:hideMark/>
          </w:tcPr>
          <w:p w14:paraId="6F66074E" w14:textId="0077A080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Changed to "including" </w:t>
            </w:r>
            <w:r w:rsidRPr="00F40574">
              <w:rPr>
                <w:i/>
                <w:iCs/>
              </w:rPr>
              <w:t>Affordable Housing Review</w:t>
            </w:r>
            <w:r w:rsidRPr="00F40574">
              <w:t xml:space="preserve"> </w:t>
            </w:r>
            <w:r w:rsidR="00245010">
              <w:t xml:space="preserve">to broaden opportunities </w:t>
            </w:r>
            <w:r w:rsidRPr="00F40574">
              <w:t>(4.3.3)</w:t>
            </w:r>
          </w:p>
        </w:tc>
      </w:tr>
      <w:tr w:rsidR="00F40574" w:rsidRPr="00F40574" w14:paraId="57EC9443" w14:textId="77777777" w:rsidTr="00F40574">
        <w:trPr>
          <w:trHeight w:val="850"/>
        </w:trPr>
        <w:tc>
          <w:tcPr>
            <w:tcW w:w="2000" w:type="dxa"/>
            <w:hideMark/>
          </w:tcPr>
          <w:p w14:paraId="1E9464EC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Career pathways and learning</w:t>
            </w:r>
          </w:p>
        </w:tc>
        <w:tc>
          <w:tcPr>
            <w:tcW w:w="2640" w:type="dxa"/>
            <w:hideMark/>
          </w:tcPr>
          <w:p w14:paraId="3DF072EC" w14:textId="77777777" w:rsidR="00F40574" w:rsidRPr="00F40574" w:rsidRDefault="00F40574" w:rsidP="00F40574">
            <w:pPr>
              <w:spacing w:after="160" w:line="259" w:lineRule="auto"/>
            </w:pPr>
          </w:p>
        </w:tc>
        <w:tc>
          <w:tcPr>
            <w:tcW w:w="3020" w:type="dxa"/>
            <w:hideMark/>
          </w:tcPr>
          <w:p w14:paraId="4C75A29F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Strengthened careers and education (5.3.3)</w:t>
            </w:r>
          </w:p>
        </w:tc>
      </w:tr>
      <w:tr w:rsidR="00F40574" w:rsidRPr="00F40574" w14:paraId="236C26DD" w14:textId="77777777" w:rsidTr="00F40574">
        <w:trPr>
          <w:trHeight w:val="1970"/>
        </w:trPr>
        <w:tc>
          <w:tcPr>
            <w:tcW w:w="2000" w:type="dxa"/>
            <w:hideMark/>
          </w:tcPr>
          <w:p w14:paraId="2A00BAC3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Children and Young people</w:t>
            </w:r>
          </w:p>
        </w:tc>
        <w:tc>
          <w:tcPr>
            <w:tcW w:w="2640" w:type="dxa"/>
            <w:hideMark/>
          </w:tcPr>
          <w:p w14:paraId="79099E4F" w14:textId="53E604A7" w:rsidR="00F40574" w:rsidRPr="00F40574" w:rsidRDefault="00D5179A" w:rsidP="00F40574">
            <w:pPr>
              <w:spacing w:after="160" w:line="259" w:lineRule="auto"/>
            </w:pPr>
            <w:r>
              <w:t xml:space="preserve">Focus area 2 and 5: </w:t>
            </w:r>
            <w:r w:rsidR="001E555A">
              <w:t>Commitment to c</w:t>
            </w:r>
            <w:r>
              <w:t xml:space="preserve">hildren and </w:t>
            </w:r>
            <w:r w:rsidR="001E555A">
              <w:t>y</w:t>
            </w:r>
            <w:r>
              <w:t xml:space="preserve">oung </w:t>
            </w:r>
            <w:r w:rsidR="001E555A">
              <w:t>p</w:t>
            </w:r>
            <w:r>
              <w:t>eople</w:t>
            </w:r>
            <w:r w:rsidR="00904FCA">
              <w:t xml:space="preserve"> </w:t>
            </w:r>
            <w:r>
              <w:t>s</w:t>
            </w:r>
            <w:r w:rsidR="00245010">
              <w:t xml:space="preserve">trengthened </w:t>
            </w:r>
          </w:p>
        </w:tc>
        <w:tc>
          <w:tcPr>
            <w:tcW w:w="3020" w:type="dxa"/>
            <w:hideMark/>
          </w:tcPr>
          <w:p w14:paraId="010B23E1" w14:textId="08A1DFD7" w:rsidR="00F40574" w:rsidRPr="00F40574" w:rsidRDefault="00245010" w:rsidP="00F40574">
            <w:pPr>
              <w:spacing w:after="160" w:line="259" w:lineRule="auto"/>
            </w:pPr>
            <w:r w:rsidRPr="00245010">
              <w:t>Added</w:t>
            </w:r>
            <w:r>
              <w:rPr>
                <w:i/>
                <w:iCs/>
              </w:rPr>
              <w:t xml:space="preserve"> </w:t>
            </w:r>
            <w:r w:rsidR="00F40574" w:rsidRPr="00F40574">
              <w:rPr>
                <w:i/>
                <w:iCs/>
              </w:rPr>
              <w:t>Let's Play Strategy</w:t>
            </w:r>
            <w:r w:rsidR="00F40574" w:rsidRPr="00F40574">
              <w:t xml:space="preserve"> (5.1.4), </w:t>
            </w:r>
            <w:r>
              <w:t>strengthened c</w:t>
            </w:r>
            <w:r w:rsidR="00F40574" w:rsidRPr="00F40574">
              <w:t>areers and education (5.3.3)</w:t>
            </w:r>
          </w:p>
        </w:tc>
      </w:tr>
      <w:tr w:rsidR="00F40574" w:rsidRPr="00F40574" w14:paraId="302A2481" w14:textId="77777777" w:rsidTr="00F40574">
        <w:trPr>
          <w:trHeight w:val="1690"/>
        </w:trPr>
        <w:tc>
          <w:tcPr>
            <w:tcW w:w="2000" w:type="dxa"/>
            <w:hideMark/>
          </w:tcPr>
          <w:p w14:paraId="0CFEE151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Council creative spaces</w:t>
            </w:r>
          </w:p>
        </w:tc>
        <w:tc>
          <w:tcPr>
            <w:tcW w:w="2640" w:type="dxa"/>
            <w:hideMark/>
          </w:tcPr>
          <w:p w14:paraId="29168764" w14:textId="77777777" w:rsidR="00F40574" w:rsidRPr="00F40574" w:rsidRDefault="00F40574" w:rsidP="00F40574">
            <w:pPr>
              <w:spacing w:after="160" w:line="259" w:lineRule="auto"/>
            </w:pPr>
          </w:p>
        </w:tc>
        <w:tc>
          <w:tcPr>
            <w:tcW w:w="3020" w:type="dxa"/>
            <w:hideMark/>
          </w:tcPr>
          <w:p w14:paraId="6054CC30" w14:textId="3A9224E5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Added evaluation of Artists in Residence </w:t>
            </w:r>
            <w:r w:rsidR="001E555A">
              <w:t xml:space="preserve">program </w:t>
            </w:r>
            <w:r w:rsidRPr="00F40574">
              <w:t>and Chrissie Cotter Gallery (4.4.2)</w:t>
            </w:r>
            <w:r w:rsidR="001E555A">
              <w:t>.</w:t>
            </w:r>
            <w:r w:rsidRPr="00F40574">
              <w:t xml:space="preserve"> Timeframe brought forward</w:t>
            </w:r>
          </w:p>
        </w:tc>
      </w:tr>
      <w:tr w:rsidR="00F40574" w:rsidRPr="00F40574" w14:paraId="27ACD003" w14:textId="77777777" w:rsidTr="00F40574">
        <w:trPr>
          <w:trHeight w:val="850"/>
        </w:trPr>
        <w:tc>
          <w:tcPr>
            <w:tcW w:w="2000" w:type="dxa"/>
            <w:hideMark/>
          </w:tcPr>
          <w:p w14:paraId="5BC74540" w14:textId="6E6E56D6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Cultural </w:t>
            </w:r>
            <w:r w:rsidR="001E555A">
              <w:t>exchange</w:t>
            </w:r>
          </w:p>
        </w:tc>
        <w:tc>
          <w:tcPr>
            <w:tcW w:w="2640" w:type="dxa"/>
            <w:hideMark/>
          </w:tcPr>
          <w:p w14:paraId="06B880AB" w14:textId="4662CB5C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Focus Area 2: </w:t>
            </w:r>
            <w:r w:rsidR="001E555A">
              <w:t>Cultural i</w:t>
            </w:r>
            <w:r w:rsidRPr="00F40574">
              <w:t xml:space="preserve">ntersection and exchange </w:t>
            </w:r>
            <w:r w:rsidR="001E555A">
              <w:t>strengthened</w:t>
            </w:r>
          </w:p>
        </w:tc>
        <w:tc>
          <w:tcPr>
            <w:tcW w:w="3020" w:type="dxa"/>
            <w:hideMark/>
          </w:tcPr>
          <w:p w14:paraId="6F2CE07B" w14:textId="77777777" w:rsidR="00F40574" w:rsidRPr="00F40574" w:rsidRDefault="00F40574" w:rsidP="00F40574">
            <w:pPr>
              <w:spacing w:after="160" w:line="259" w:lineRule="auto"/>
            </w:pPr>
          </w:p>
        </w:tc>
      </w:tr>
      <w:tr w:rsidR="00F40574" w:rsidRPr="00F40574" w14:paraId="0B8BC9F7" w14:textId="77777777" w:rsidTr="00F40574">
        <w:trPr>
          <w:trHeight w:val="850"/>
        </w:trPr>
        <w:tc>
          <w:tcPr>
            <w:tcW w:w="2000" w:type="dxa"/>
            <w:hideMark/>
          </w:tcPr>
          <w:p w14:paraId="2BB4CA59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Viability/ fair payment of artists and venues</w:t>
            </w:r>
          </w:p>
        </w:tc>
        <w:tc>
          <w:tcPr>
            <w:tcW w:w="2640" w:type="dxa"/>
            <w:hideMark/>
          </w:tcPr>
          <w:p w14:paraId="51C38834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Focus Area 3: viability of artists and venues added</w:t>
            </w:r>
          </w:p>
        </w:tc>
        <w:tc>
          <w:tcPr>
            <w:tcW w:w="3020" w:type="dxa"/>
            <w:hideMark/>
          </w:tcPr>
          <w:p w14:paraId="554D24DB" w14:textId="77777777" w:rsidR="00F40574" w:rsidRPr="00F40574" w:rsidRDefault="00F40574" w:rsidP="00F40574">
            <w:pPr>
              <w:spacing w:after="160" w:line="259" w:lineRule="auto"/>
            </w:pPr>
          </w:p>
        </w:tc>
      </w:tr>
      <w:tr w:rsidR="00F40574" w:rsidRPr="00F40574" w14:paraId="1DC43A01" w14:textId="77777777" w:rsidTr="00F40574">
        <w:trPr>
          <w:trHeight w:val="2250"/>
        </w:trPr>
        <w:tc>
          <w:tcPr>
            <w:tcW w:w="2000" w:type="dxa"/>
            <w:hideMark/>
          </w:tcPr>
          <w:p w14:paraId="0CCFCB7F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Inclusive of everyone (not only supporting specific groups)</w:t>
            </w:r>
          </w:p>
        </w:tc>
        <w:tc>
          <w:tcPr>
            <w:tcW w:w="2640" w:type="dxa"/>
            <w:hideMark/>
          </w:tcPr>
          <w:p w14:paraId="1ABE748C" w14:textId="57DB5353" w:rsidR="00F40574" w:rsidRPr="00F40574" w:rsidRDefault="00F40574" w:rsidP="00F40574">
            <w:pPr>
              <w:spacing w:after="160" w:line="259" w:lineRule="auto"/>
            </w:pPr>
            <w:r w:rsidRPr="00F40574">
              <w:t>Focus Area 2</w:t>
            </w:r>
            <w:r w:rsidR="009E0D82">
              <w:t>: R</w:t>
            </w:r>
            <w:r w:rsidRPr="00F40574">
              <w:t xml:space="preserve">enamed to </w:t>
            </w:r>
            <w:r w:rsidRPr="00F40574">
              <w:rPr>
                <w:i/>
                <w:iCs/>
              </w:rPr>
              <w:t>Culture is for everyone,</w:t>
            </w:r>
            <w:r w:rsidRPr="00F40574">
              <w:t xml:space="preserve"> to focus on inclusion, diversity and unity.  </w:t>
            </w:r>
          </w:p>
        </w:tc>
        <w:tc>
          <w:tcPr>
            <w:tcW w:w="3020" w:type="dxa"/>
            <w:hideMark/>
          </w:tcPr>
          <w:p w14:paraId="1789D52F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Changed actions to focus on inclusion, exchange and bringing people together (2.1.1 - 2.2.5).</w:t>
            </w:r>
          </w:p>
        </w:tc>
      </w:tr>
      <w:tr w:rsidR="00F40574" w:rsidRPr="00F40574" w14:paraId="6A0CC510" w14:textId="77777777" w:rsidTr="00F40574">
        <w:trPr>
          <w:trHeight w:val="570"/>
        </w:trPr>
        <w:tc>
          <w:tcPr>
            <w:tcW w:w="2000" w:type="dxa"/>
            <w:hideMark/>
          </w:tcPr>
          <w:p w14:paraId="0BF1E83F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LGBTIQ</w:t>
            </w:r>
          </w:p>
        </w:tc>
        <w:tc>
          <w:tcPr>
            <w:tcW w:w="2640" w:type="dxa"/>
            <w:hideMark/>
          </w:tcPr>
          <w:p w14:paraId="5A676EFC" w14:textId="11B168F1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Focus </w:t>
            </w:r>
            <w:r w:rsidR="009E0D82">
              <w:t>A</w:t>
            </w:r>
            <w:r w:rsidRPr="00F40574">
              <w:t>rea 2</w:t>
            </w:r>
            <w:r w:rsidR="009E0D82">
              <w:t>:</w:t>
            </w:r>
            <w:r w:rsidRPr="00F40574">
              <w:t xml:space="preserve"> </w:t>
            </w:r>
            <w:r w:rsidR="009E0D82">
              <w:t>I</w:t>
            </w:r>
            <w:r w:rsidRPr="00F40574">
              <w:t>nclude</w:t>
            </w:r>
            <w:r w:rsidR="00D71F37">
              <w:t>d</w:t>
            </w:r>
            <w:r w:rsidRPr="00F40574">
              <w:t xml:space="preserve"> LGBTIQ arts </w:t>
            </w:r>
          </w:p>
        </w:tc>
        <w:tc>
          <w:tcPr>
            <w:tcW w:w="3020" w:type="dxa"/>
            <w:hideMark/>
          </w:tcPr>
          <w:p w14:paraId="4D1998EE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Added celebrating LGBTIQ in public places (2.2.4)</w:t>
            </w:r>
          </w:p>
        </w:tc>
      </w:tr>
      <w:tr w:rsidR="00F40574" w:rsidRPr="00F40574" w14:paraId="441F72BC" w14:textId="77777777" w:rsidTr="00F40574">
        <w:trPr>
          <w:trHeight w:val="850"/>
        </w:trPr>
        <w:tc>
          <w:tcPr>
            <w:tcW w:w="2000" w:type="dxa"/>
            <w:hideMark/>
          </w:tcPr>
          <w:p w14:paraId="06F0F884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Partnerships</w:t>
            </w:r>
          </w:p>
        </w:tc>
        <w:tc>
          <w:tcPr>
            <w:tcW w:w="2640" w:type="dxa"/>
            <w:hideMark/>
          </w:tcPr>
          <w:p w14:paraId="657AA389" w14:textId="77777777" w:rsidR="00F40574" w:rsidRPr="00F40574" w:rsidRDefault="00F40574" w:rsidP="00F40574">
            <w:pPr>
              <w:spacing w:after="160" w:line="259" w:lineRule="auto"/>
            </w:pPr>
          </w:p>
        </w:tc>
        <w:tc>
          <w:tcPr>
            <w:tcW w:w="3020" w:type="dxa"/>
            <w:hideMark/>
          </w:tcPr>
          <w:p w14:paraId="2CE0B8D4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Added Aboriginal partnerships (1.2.1), creative partnerships (5.1.5)</w:t>
            </w:r>
          </w:p>
        </w:tc>
      </w:tr>
      <w:tr w:rsidR="00F40574" w:rsidRPr="00F40574" w14:paraId="4B282F32" w14:textId="77777777" w:rsidTr="00F40574">
        <w:trPr>
          <w:trHeight w:val="1690"/>
        </w:trPr>
        <w:tc>
          <w:tcPr>
            <w:tcW w:w="2000" w:type="dxa"/>
            <w:hideMark/>
          </w:tcPr>
          <w:p w14:paraId="05816859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People living with a Disability</w:t>
            </w:r>
          </w:p>
        </w:tc>
        <w:tc>
          <w:tcPr>
            <w:tcW w:w="2640" w:type="dxa"/>
            <w:hideMark/>
          </w:tcPr>
          <w:p w14:paraId="508CCDD6" w14:textId="15E52304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Focus Area 2: </w:t>
            </w:r>
            <w:r w:rsidR="00D71F37" w:rsidRPr="00F40574">
              <w:t>Strengthened inclusion</w:t>
            </w:r>
            <w:r w:rsidRPr="00F40574">
              <w:t>.  Use words "People With a Disability", description in appendi</w:t>
            </w:r>
            <w:r w:rsidR="009E0D82">
              <w:t>x</w:t>
            </w:r>
          </w:p>
        </w:tc>
        <w:tc>
          <w:tcPr>
            <w:tcW w:w="3020" w:type="dxa"/>
            <w:hideMark/>
          </w:tcPr>
          <w:p w14:paraId="44C16ABA" w14:textId="77777777" w:rsidR="00F40574" w:rsidRPr="00F40574" w:rsidRDefault="00F40574" w:rsidP="00F40574">
            <w:pPr>
              <w:spacing w:after="160" w:line="259" w:lineRule="auto"/>
            </w:pPr>
            <w:bookmarkStart w:id="13" w:name="_Hlk85719595"/>
            <w:r w:rsidRPr="00F40574">
              <w:t xml:space="preserve">Strengthened inclusion </w:t>
            </w:r>
            <w:bookmarkEnd w:id="13"/>
            <w:r w:rsidRPr="00F40574">
              <w:t>(2.1.1, 2.1.2, 2.2.3)</w:t>
            </w:r>
          </w:p>
        </w:tc>
      </w:tr>
      <w:tr w:rsidR="00F40574" w:rsidRPr="00F40574" w14:paraId="6E1CB22C" w14:textId="77777777" w:rsidTr="00F40574">
        <w:trPr>
          <w:trHeight w:val="710"/>
        </w:trPr>
        <w:tc>
          <w:tcPr>
            <w:tcW w:w="2000" w:type="dxa"/>
            <w:hideMark/>
          </w:tcPr>
          <w:p w14:paraId="6E7D7776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Street Art</w:t>
            </w:r>
          </w:p>
        </w:tc>
        <w:tc>
          <w:tcPr>
            <w:tcW w:w="2640" w:type="dxa"/>
            <w:hideMark/>
          </w:tcPr>
          <w:p w14:paraId="5E5CCC65" w14:textId="77777777" w:rsidR="00F40574" w:rsidRPr="00F40574" w:rsidRDefault="00F40574" w:rsidP="00F40574">
            <w:pPr>
              <w:spacing w:after="160" w:line="259" w:lineRule="auto"/>
            </w:pPr>
          </w:p>
        </w:tc>
        <w:tc>
          <w:tcPr>
            <w:tcW w:w="3020" w:type="dxa"/>
            <w:hideMark/>
          </w:tcPr>
          <w:p w14:paraId="291A3980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Added support street art (3.3.6)</w:t>
            </w:r>
          </w:p>
        </w:tc>
      </w:tr>
      <w:tr w:rsidR="00F40574" w:rsidRPr="00F40574" w14:paraId="2701F3A3" w14:textId="77777777" w:rsidTr="00F40574">
        <w:trPr>
          <w:trHeight w:val="1130"/>
        </w:trPr>
        <w:tc>
          <w:tcPr>
            <w:tcW w:w="2000" w:type="dxa"/>
            <w:hideMark/>
          </w:tcPr>
          <w:p w14:paraId="5DEC378C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Sustainability/ Nature</w:t>
            </w:r>
          </w:p>
        </w:tc>
        <w:tc>
          <w:tcPr>
            <w:tcW w:w="2640" w:type="dxa"/>
            <w:hideMark/>
          </w:tcPr>
          <w:p w14:paraId="4A1BCF8C" w14:textId="6EE19259" w:rsidR="00F40574" w:rsidRPr="00F40574" w:rsidRDefault="00F40574" w:rsidP="00F40574">
            <w:pPr>
              <w:spacing w:after="160" w:line="259" w:lineRule="auto"/>
            </w:pPr>
            <w:r w:rsidRPr="00F40574">
              <w:t>Focus Area 5:</w:t>
            </w:r>
            <w:r w:rsidR="001F5A8E">
              <w:t xml:space="preserve"> S</w:t>
            </w:r>
            <w:r w:rsidRPr="00F40574">
              <w:t xml:space="preserve">trengthened sustainability, connection to nature.   </w:t>
            </w:r>
          </w:p>
        </w:tc>
        <w:tc>
          <w:tcPr>
            <w:tcW w:w="3020" w:type="dxa"/>
            <w:hideMark/>
          </w:tcPr>
          <w:p w14:paraId="27F617F6" w14:textId="1573759E" w:rsidR="00F40574" w:rsidRPr="00F40574" w:rsidRDefault="00F40574" w:rsidP="00F40574">
            <w:pPr>
              <w:spacing w:after="160" w:line="259" w:lineRule="auto"/>
            </w:pPr>
            <w:r w:rsidRPr="00F40574">
              <w:t>Strengthened sustainability</w:t>
            </w:r>
            <w:r w:rsidR="009E0D82">
              <w:t xml:space="preserve"> and c</w:t>
            </w:r>
            <w:r w:rsidRPr="00F40574">
              <w:t>onnection to nature (5.1 - 5.1.3)</w:t>
            </w:r>
          </w:p>
        </w:tc>
      </w:tr>
      <w:tr w:rsidR="00F40574" w:rsidRPr="00F40574" w14:paraId="1721406C" w14:textId="77777777" w:rsidTr="00F40574">
        <w:trPr>
          <w:trHeight w:val="710"/>
        </w:trPr>
        <w:tc>
          <w:tcPr>
            <w:tcW w:w="2000" w:type="dxa"/>
            <w:hideMark/>
          </w:tcPr>
          <w:p w14:paraId="10EC81B2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Technology</w:t>
            </w:r>
          </w:p>
        </w:tc>
        <w:tc>
          <w:tcPr>
            <w:tcW w:w="2640" w:type="dxa"/>
            <w:hideMark/>
          </w:tcPr>
          <w:p w14:paraId="5C383618" w14:textId="5E5727D0" w:rsidR="00F40574" w:rsidRPr="00F40574" w:rsidRDefault="00276D03" w:rsidP="00F40574">
            <w:pPr>
              <w:spacing w:after="160" w:line="259" w:lineRule="auto"/>
            </w:pPr>
            <w:r>
              <w:t>Focus Areas</w:t>
            </w:r>
            <w:r w:rsidR="00F40574" w:rsidRPr="00F40574">
              <w:t xml:space="preserve"> 3</w:t>
            </w:r>
            <w:r>
              <w:t xml:space="preserve"> and 5</w:t>
            </w:r>
            <w:r w:rsidR="00F40574" w:rsidRPr="00F40574">
              <w:t xml:space="preserve">: </w:t>
            </w:r>
            <w:r w:rsidR="001F5A8E">
              <w:t>T</w:t>
            </w:r>
            <w:r w:rsidR="00F40574" w:rsidRPr="00F40574">
              <w:t xml:space="preserve">echnological change </w:t>
            </w:r>
            <w:r>
              <w:t xml:space="preserve">and opportunities </w:t>
            </w:r>
            <w:r w:rsidR="00F40574" w:rsidRPr="00F40574">
              <w:t>added</w:t>
            </w:r>
          </w:p>
        </w:tc>
        <w:tc>
          <w:tcPr>
            <w:tcW w:w="3020" w:type="dxa"/>
            <w:hideMark/>
          </w:tcPr>
          <w:p w14:paraId="73802BE7" w14:textId="77777777" w:rsidR="00F40574" w:rsidRPr="00F40574" w:rsidRDefault="00F40574" w:rsidP="00F40574">
            <w:pPr>
              <w:spacing w:after="160" w:line="259" w:lineRule="auto"/>
            </w:pPr>
          </w:p>
        </w:tc>
      </w:tr>
      <w:tr w:rsidR="00F40574" w:rsidRPr="00F40574" w14:paraId="55699F7A" w14:textId="77777777" w:rsidTr="00F40574">
        <w:trPr>
          <w:trHeight w:val="850"/>
        </w:trPr>
        <w:tc>
          <w:tcPr>
            <w:tcW w:w="2000" w:type="dxa"/>
            <w:hideMark/>
          </w:tcPr>
          <w:p w14:paraId="4C861FFD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Wellbeing</w:t>
            </w:r>
          </w:p>
        </w:tc>
        <w:tc>
          <w:tcPr>
            <w:tcW w:w="2640" w:type="dxa"/>
            <w:hideMark/>
          </w:tcPr>
          <w:p w14:paraId="5085FBE2" w14:textId="57E16372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Focus Area 5: </w:t>
            </w:r>
            <w:r w:rsidR="001F5A8E">
              <w:t>Added c</w:t>
            </w:r>
            <w:r w:rsidRPr="00F40574">
              <w:t xml:space="preserve">onnection between creativity and wellbeing </w:t>
            </w:r>
          </w:p>
        </w:tc>
        <w:tc>
          <w:tcPr>
            <w:tcW w:w="3020" w:type="dxa"/>
            <w:hideMark/>
          </w:tcPr>
          <w:p w14:paraId="3F1CF82D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Connection between creativity and wellbeing added to Priority (5.1, 5.1.1)</w:t>
            </w:r>
          </w:p>
        </w:tc>
      </w:tr>
      <w:tr w:rsidR="00F40574" w:rsidRPr="00F40574" w14:paraId="3964DA9A" w14:textId="77777777" w:rsidTr="00F40574">
        <w:trPr>
          <w:trHeight w:val="850"/>
        </w:trPr>
        <w:tc>
          <w:tcPr>
            <w:tcW w:w="2000" w:type="dxa"/>
            <w:hideMark/>
          </w:tcPr>
          <w:p w14:paraId="5017EFF3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Wording and clarity</w:t>
            </w:r>
          </w:p>
        </w:tc>
        <w:tc>
          <w:tcPr>
            <w:tcW w:w="2640" w:type="dxa"/>
            <w:hideMark/>
          </w:tcPr>
          <w:p w14:paraId="415D14F2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>All Areas:  Minor wording changes throughout Strategy</w:t>
            </w:r>
          </w:p>
        </w:tc>
        <w:tc>
          <w:tcPr>
            <w:tcW w:w="3020" w:type="dxa"/>
            <w:hideMark/>
          </w:tcPr>
          <w:p w14:paraId="2AF94F53" w14:textId="77777777" w:rsidR="00F40574" w:rsidRPr="00F40574" w:rsidRDefault="00F40574" w:rsidP="00F40574">
            <w:pPr>
              <w:spacing w:after="160" w:line="259" w:lineRule="auto"/>
            </w:pPr>
            <w:r w:rsidRPr="00F40574">
              <w:t xml:space="preserve">Minor wording changes throughout Strategy and Action plan as necessary </w:t>
            </w:r>
          </w:p>
        </w:tc>
      </w:tr>
    </w:tbl>
    <w:p w14:paraId="5DEBB2A7" w14:textId="77777777" w:rsidR="00F40574" w:rsidRPr="00F40574" w:rsidRDefault="00F40574" w:rsidP="00F40574"/>
    <w:p w14:paraId="2826EF62" w14:textId="395A9687" w:rsidR="00901D60" w:rsidRDefault="00901D60" w:rsidP="00901D60">
      <w:bookmarkStart w:id="14" w:name="_Toc49783661"/>
      <w:bookmarkEnd w:id="12"/>
    </w:p>
    <w:bookmarkEnd w:id="14"/>
    <w:p w14:paraId="20A8639C" w14:textId="62778245" w:rsidR="00175BAA" w:rsidRDefault="00175BAA">
      <w:pPr>
        <w:rPr>
          <w:rFonts w:cs="Arial"/>
        </w:rPr>
      </w:pPr>
    </w:p>
    <w:sectPr w:rsidR="00175BAA" w:rsidSect="00B44BB5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5442" w14:textId="77777777" w:rsidR="001408AD" w:rsidRDefault="001408AD" w:rsidP="00B44BB5">
      <w:pPr>
        <w:spacing w:after="0" w:line="240" w:lineRule="auto"/>
      </w:pPr>
      <w:r>
        <w:separator/>
      </w:r>
    </w:p>
  </w:endnote>
  <w:endnote w:type="continuationSeparator" w:id="0">
    <w:p w14:paraId="41BD0A48" w14:textId="77777777" w:rsidR="001408AD" w:rsidRDefault="001408AD" w:rsidP="00B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3190" w14:textId="77777777" w:rsidR="001408AD" w:rsidRDefault="001408AD" w:rsidP="00B44BB5">
      <w:pPr>
        <w:spacing w:after="0" w:line="240" w:lineRule="auto"/>
      </w:pPr>
      <w:r>
        <w:separator/>
      </w:r>
    </w:p>
  </w:footnote>
  <w:footnote w:type="continuationSeparator" w:id="0">
    <w:p w14:paraId="0F1A36F8" w14:textId="77777777" w:rsidR="001408AD" w:rsidRDefault="001408AD" w:rsidP="00B4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2F33" w14:textId="77777777" w:rsidR="00B44BB5" w:rsidRDefault="00B44BB5">
    <w:pPr>
      <w:pStyle w:val="Header"/>
    </w:pPr>
    <w:r>
      <w:rPr>
        <w:noProof/>
      </w:rPr>
      <w:drawing>
        <wp:inline distT="0" distB="0" distL="0" distR="0" wp14:anchorId="1D254ACF" wp14:editId="4FAB036D">
          <wp:extent cx="5731510" cy="7075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-graphic-long-black-an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327252"/>
    <w:multiLevelType w:val="hybridMultilevel"/>
    <w:tmpl w:val="087A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1B6"/>
    <w:multiLevelType w:val="hybridMultilevel"/>
    <w:tmpl w:val="56D81B20"/>
    <w:lvl w:ilvl="0" w:tplc="0E10F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854"/>
    <w:multiLevelType w:val="hybridMultilevel"/>
    <w:tmpl w:val="ECF40F2C"/>
    <w:lvl w:ilvl="0" w:tplc="08BA4B44">
      <w:start w:val="26"/>
      <w:numFmt w:val="bullet"/>
      <w:lvlText w:val="-"/>
      <w:lvlJc w:val="left"/>
      <w:pPr>
        <w:ind w:left="113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7BED"/>
    <w:multiLevelType w:val="hybridMultilevel"/>
    <w:tmpl w:val="E8B27202"/>
    <w:lvl w:ilvl="0" w:tplc="08BA4B44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0C8B"/>
    <w:multiLevelType w:val="hybridMultilevel"/>
    <w:tmpl w:val="43C2C912"/>
    <w:lvl w:ilvl="0" w:tplc="FB50B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377D1"/>
    <w:multiLevelType w:val="hybridMultilevel"/>
    <w:tmpl w:val="0B52A2BA"/>
    <w:lvl w:ilvl="0" w:tplc="718207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0584"/>
    <w:multiLevelType w:val="hybridMultilevel"/>
    <w:tmpl w:val="6CBAB5E6"/>
    <w:lvl w:ilvl="0" w:tplc="08BA4B44">
      <w:start w:val="2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83BEC"/>
    <w:multiLevelType w:val="hybridMultilevel"/>
    <w:tmpl w:val="E33E7D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23C"/>
    <w:multiLevelType w:val="hybridMultilevel"/>
    <w:tmpl w:val="7F8E05F2"/>
    <w:lvl w:ilvl="0" w:tplc="24368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229A1"/>
    <w:multiLevelType w:val="hybridMultilevel"/>
    <w:tmpl w:val="3466B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5A2C"/>
    <w:multiLevelType w:val="hybridMultilevel"/>
    <w:tmpl w:val="09545290"/>
    <w:lvl w:ilvl="0" w:tplc="FEEA080C">
      <w:start w:val="9"/>
      <w:numFmt w:val="bullet"/>
      <w:lvlText w:val=""/>
      <w:lvlJc w:val="left"/>
      <w:pPr>
        <w:ind w:left="41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424F186C"/>
    <w:multiLevelType w:val="hybridMultilevel"/>
    <w:tmpl w:val="697E5CD6"/>
    <w:lvl w:ilvl="0" w:tplc="4BE6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D88C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44D8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99833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0670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F14E8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9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3400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2271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63CB6"/>
    <w:multiLevelType w:val="hybridMultilevel"/>
    <w:tmpl w:val="A5DA213E"/>
    <w:lvl w:ilvl="0" w:tplc="24368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40F11"/>
    <w:multiLevelType w:val="hybridMultilevel"/>
    <w:tmpl w:val="7F40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0695B"/>
    <w:multiLevelType w:val="hybridMultilevel"/>
    <w:tmpl w:val="E6E4794A"/>
    <w:lvl w:ilvl="0" w:tplc="8EC24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1D5A"/>
    <w:multiLevelType w:val="hybridMultilevel"/>
    <w:tmpl w:val="86141CF8"/>
    <w:lvl w:ilvl="0" w:tplc="24368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0256"/>
    <w:multiLevelType w:val="hybridMultilevel"/>
    <w:tmpl w:val="8F88E0FE"/>
    <w:lvl w:ilvl="0" w:tplc="39ACF9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2EA"/>
    <w:multiLevelType w:val="hybridMultilevel"/>
    <w:tmpl w:val="9D101706"/>
    <w:lvl w:ilvl="0" w:tplc="4D7622F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1119"/>
    <w:multiLevelType w:val="hybridMultilevel"/>
    <w:tmpl w:val="3B8A8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D82"/>
    <w:multiLevelType w:val="hybridMultilevel"/>
    <w:tmpl w:val="D5C23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31893"/>
    <w:multiLevelType w:val="hybridMultilevel"/>
    <w:tmpl w:val="CDF250F6"/>
    <w:lvl w:ilvl="0" w:tplc="08BA4B44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5908"/>
    <w:multiLevelType w:val="hybridMultilevel"/>
    <w:tmpl w:val="A5089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094B"/>
    <w:multiLevelType w:val="hybridMultilevel"/>
    <w:tmpl w:val="4F085550"/>
    <w:lvl w:ilvl="0" w:tplc="24368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B158F"/>
    <w:multiLevelType w:val="hybridMultilevel"/>
    <w:tmpl w:val="3466B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8A2"/>
    <w:multiLevelType w:val="hybridMultilevel"/>
    <w:tmpl w:val="FCE8E1E4"/>
    <w:lvl w:ilvl="0" w:tplc="08BA4B44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E20386"/>
    <w:multiLevelType w:val="hybridMultilevel"/>
    <w:tmpl w:val="B6F44206"/>
    <w:lvl w:ilvl="0" w:tplc="08BA4B44">
      <w:start w:val="2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7383A"/>
    <w:multiLevelType w:val="hybridMultilevel"/>
    <w:tmpl w:val="8A8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22"/>
  </w:num>
  <w:num w:numId="7">
    <w:abstractNumId w:val="2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35"/>
  </w:num>
  <w:num w:numId="13">
    <w:abstractNumId w:val="28"/>
  </w:num>
  <w:num w:numId="14">
    <w:abstractNumId w:val="33"/>
  </w:num>
  <w:num w:numId="15">
    <w:abstractNumId w:val="17"/>
  </w:num>
  <w:num w:numId="16">
    <w:abstractNumId w:val="16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24"/>
  </w:num>
  <w:num w:numId="22">
    <w:abstractNumId w:val="3"/>
  </w:num>
  <w:num w:numId="23">
    <w:abstractNumId w:val="11"/>
  </w:num>
  <w:num w:numId="24">
    <w:abstractNumId w:val="25"/>
  </w:num>
  <w:num w:numId="25">
    <w:abstractNumId w:val="23"/>
  </w:num>
  <w:num w:numId="26">
    <w:abstractNumId w:val="7"/>
  </w:num>
  <w:num w:numId="27">
    <w:abstractNumId w:val="12"/>
  </w:num>
  <w:num w:numId="28">
    <w:abstractNumId w:val="34"/>
  </w:num>
  <w:num w:numId="29">
    <w:abstractNumId w:val="32"/>
  </w:num>
  <w:num w:numId="30">
    <w:abstractNumId w:val="5"/>
  </w:num>
  <w:num w:numId="31">
    <w:abstractNumId w:val="29"/>
  </w:num>
  <w:num w:numId="32">
    <w:abstractNumId w:val="13"/>
  </w:num>
  <w:num w:numId="33">
    <w:abstractNumId w:val="31"/>
  </w:num>
  <w:num w:numId="34">
    <w:abstractNumId w:val="10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034CA"/>
    <w:rsid w:val="00004302"/>
    <w:rsid w:val="00011871"/>
    <w:rsid w:val="000128B1"/>
    <w:rsid w:val="000140BF"/>
    <w:rsid w:val="0001458E"/>
    <w:rsid w:val="00014CFB"/>
    <w:rsid w:val="00015A24"/>
    <w:rsid w:val="0001797B"/>
    <w:rsid w:val="00017FC4"/>
    <w:rsid w:val="00021D22"/>
    <w:rsid w:val="00026AEF"/>
    <w:rsid w:val="00037CE9"/>
    <w:rsid w:val="00042A94"/>
    <w:rsid w:val="00054379"/>
    <w:rsid w:val="00054C90"/>
    <w:rsid w:val="000626FD"/>
    <w:rsid w:val="000727AB"/>
    <w:rsid w:val="000754A1"/>
    <w:rsid w:val="00086F2E"/>
    <w:rsid w:val="000969C6"/>
    <w:rsid w:val="000A0B1A"/>
    <w:rsid w:val="000C449D"/>
    <w:rsid w:val="000C44F3"/>
    <w:rsid w:val="000D2A8F"/>
    <w:rsid w:val="000D75A6"/>
    <w:rsid w:val="000E0909"/>
    <w:rsid w:val="000E52FC"/>
    <w:rsid w:val="0010637D"/>
    <w:rsid w:val="00106488"/>
    <w:rsid w:val="00111A42"/>
    <w:rsid w:val="00113C99"/>
    <w:rsid w:val="00120281"/>
    <w:rsid w:val="001203C3"/>
    <w:rsid w:val="00133ACF"/>
    <w:rsid w:val="001408AD"/>
    <w:rsid w:val="0014503B"/>
    <w:rsid w:val="001454D7"/>
    <w:rsid w:val="001470F6"/>
    <w:rsid w:val="0014713B"/>
    <w:rsid w:val="00154A68"/>
    <w:rsid w:val="00155C78"/>
    <w:rsid w:val="00166D18"/>
    <w:rsid w:val="001706B5"/>
    <w:rsid w:val="00175BAA"/>
    <w:rsid w:val="00177095"/>
    <w:rsid w:val="0018363D"/>
    <w:rsid w:val="001912B0"/>
    <w:rsid w:val="001A4D2B"/>
    <w:rsid w:val="001B1F38"/>
    <w:rsid w:val="001B466E"/>
    <w:rsid w:val="001C2A93"/>
    <w:rsid w:val="001C5702"/>
    <w:rsid w:val="001C6E5F"/>
    <w:rsid w:val="001D1B2E"/>
    <w:rsid w:val="001E2089"/>
    <w:rsid w:val="001E555A"/>
    <w:rsid w:val="001F5A8E"/>
    <w:rsid w:val="001F5D67"/>
    <w:rsid w:val="001F7A60"/>
    <w:rsid w:val="00203F59"/>
    <w:rsid w:val="0021077B"/>
    <w:rsid w:val="00235ED9"/>
    <w:rsid w:val="00237013"/>
    <w:rsid w:val="00245010"/>
    <w:rsid w:val="00253A10"/>
    <w:rsid w:val="00256BEF"/>
    <w:rsid w:val="00264565"/>
    <w:rsid w:val="00265B19"/>
    <w:rsid w:val="0027348A"/>
    <w:rsid w:val="00276D03"/>
    <w:rsid w:val="00280459"/>
    <w:rsid w:val="00280EC8"/>
    <w:rsid w:val="00283943"/>
    <w:rsid w:val="002918E9"/>
    <w:rsid w:val="00294441"/>
    <w:rsid w:val="002A056A"/>
    <w:rsid w:val="002C1DC7"/>
    <w:rsid w:val="002D2C2A"/>
    <w:rsid w:val="002D653F"/>
    <w:rsid w:val="002F48BB"/>
    <w:rsid w:val="00327B37"/>
    <w:rsid w:val="00331BA1"/>
    <w:rsid w:val="00341844"/>
    <w:rsid w:val="00344290"/>
    <w:rsid w:val="003511BD"/>
    <w:rsid w:val="00351A2C"/>
    <w:rsid w:val="00354EB9"/>
    <w:rsid w:val="0035563B"/>
    <w:rsid w:val="00361C7E"/>
    <w:rsid w:val="00366343"/>
    <w:rsid w:val="00373E63"/>
    <w:rsid w:val="00376939"/>
    <w:rsid w:val="00377C44"/>
    <w:rsid w:val="00396060"/>
    <w:rsid w:val="003A01AD"/>
    <w:rsid w:val="003A3C9A"/>
    <w:rsid w:val="003C67E6"/>
    <w:rsid w:val="003C683D"/>
    <w:rsid w:val="003D0833"/>
    <w:rsid w:val="004075A4"/>
    <w:rsid w:val="00407B75"/>
    <w:rsid w:val="00410174"/>
    <w:rsid w:val="00415131"/>
    <w:rsid w:val="00427266"/>
    <w:rsid w:val="00430533"/>
    <w:rsid w:val="0045035C"/>
    <w:rsid w:val="004511C6"/>
    <w:rsid w:val="004536C8"/>
    <w:rsid w:val="00453F06"/>
    <w:rsid w:val="00455DED"/>
    <w:rsid w:val="00456C9A"/>
    <w:rsid w:val="004614E3"/>
    <w:rsid w:val="004718CA"/>
    <w:rsid w:val="0047437C"/>
    <w:rsid w:val="00475C65"/>
    <w:rsid w:val="00476F4C"/>
    <w:rsid w:val="004908D2"/>
    <w:rsid w:val="00492AA7"/>
    <w:rsid w:val="0049382B"/>
    <w:rsid w:val="00495BC8"/>
    <w:rsid w:val="00496187"/>
    <w:rsid w:val="004A09BA"/>
    <w:rsid w:val="004B6C4F"/>
    <w:rsid w:val="004C757B"/>
    <w:rsid w:val="004D2691"/>
    <w:rsid w:val="004E3533"/>
    <w:rsid w:val="004E4050"/>
    <w:rsid w:val="004F6C3D"/>
    <w:rsid w:val="004F73A7"/>
    <w:rsid w:val="005002E1"/>
    <w:rsid w:val="005034BB"/>
    <w:rsid w:val="00510DE0"/>
    <w:rsid w:val="00510E3B"/>
    <w:rsid w:val="00511E73"/>
    <w:rsid w:val="00523907"/>
    <w:rsid w:val="00531919"/>
    <w:rsid w:val="00541D14"/>
    <w:rsid w:val="005420C4"/>
    <w:rsid w:val="00545DF2"/>
    <w:rsid w:val="00546F32"/>
    <w:rsid w:val="00546F7F"/>
    <w:rsid w:val="0055443E"/>
    <w:rsid w:val="00556EA6"/>
    <w:rsid w:val="00566F3B"/>
    <w:rsid w:val="00570325"/>
    <w:rsid w:val="00575AB6"/>
    <w:rsid w:val="00577B00"/>
    <w:rsid w:val="00577C7D"/>
    <w:rsid w:val="00580294"/>
    <w:rsid w:val="00582881"/>
    <w:rsid w:val="00583D3E"/>
    <w:rsid w:val="0059497C"/>
    <w:rsid w:val="00595EE3"/>
    <w:rsid w:val="005A1353"/>
    <w:rsid w:val="005A24BB"/>
    <w:rsid w:val="005A4DFD"/>
    <w:rsid w:val="005A55A4"/>
    <w:rsid w:val="005A647C"/>
    <w:rsid w:val="005B0751"/>
    <w:rsid w:val="005B426F"/>
    <w:rsid w:val="005C19D3"/>
    <w:rsid w:val="005D45E8"/>
    <w:rsid w:val="005D6C73"/>
    <w:rsid w:val="005E502A"/>
    <w:rsid w:val="00601642"/>
    <w:rsid w:val="00602D3B"/>
    <w:rsid w:val="00604854"/>
    <w:rsid w:val="00606008"/>
    <w:rsid w:val="00613D08"/>
    <w:rsid w:val="00615EC1"/>
    <w:rsid w:val="00630E2C"/>
    <w:rsid w:val="00635018"/>
    <w:rsid w:val="006512B1"/>
    <w:rsid w:val="0065195C"/>
    <w:rsid w:val="0065443D"/>
    <w:rsid w:val="006566AF"/>
    <w:rsid w:val="00661676"/>
    <w:rsid w:val="00664157"/>
    <w:rsid w:val="00665B10"/>
    <w:rsid w:val="00671638"/>
    <w:rsid w:val="0067238C"/>
    <w:rsid w:val="00672896"/>
    <w:rsid w:val="00673851"/>
    <w:rsid w:val="0067451B"/>
    <w:rsid w:val="00682DE6"/>
    <w:rsid w:val="00683DAB"/>
    <w:rsid w:val="00691C75"/>
    <w:rsid w:val="006926D1"/>
    <w:rsid w:val="006A5A3F"/>
    <w:rsid w:val="006A7373"/>
    <w:rsid w:val="006B246A"/>
    <w:rsid w:val="006B2652"/>
    <w:rsid w:val="006B5510"/>
    <w:rsid w:val="006B7F7D"/>
    <w:rsid w:val="006C494B"/>
    <w:rsid w:val="006D0FE9"/>
    <w:rsid w:val="006D1383"/>
    <w:rsid w:val="006D3D8E"/>
    <w:rsid w:val="006E1FBB"/>
    <w:rsid w:val="006E6FEB"/>
    <w:rsid w:val="006E730B"/>
    <w:rsid w:val="006F3EC2"/>
    <w:rsid w:val="006F5327"/>
    <w:rsid w:val="006F7448"/>
    <w:rsid w:val="00702539"/>
    <w:rsid w:val="00703612"/>
    <w:rsid w:val="00717EE3"/>
    <w:rsid w:val="00721C55"/>
    <w:rsid w:val="00737908"/>
    <w:rsid w:val="007430C7"/>
    <w:rsid w:val="00745DFF"/>
    <w:rsid w:val="00751FF2"/>
    <w:rsid w:val="00752016"/>
    <w:rsid w:val="0075407A"/>
    <w:rsid w:val="00767FAA"/>
    <w:rsid w:val="00791997"/>
    <w:rsid w:val="007938C9"/>
    <w:rsid w:val="0079440A"/>
    <w:rsid w:val="007944B7"/>
    <w:rsid w:val="00796918"/>
    <w:rsid w:val="007A0BC5"/>
    <w:rsid w:val="007A419C"/>
    <w:rsid w:val="007A7ACB"/>
    <w:rsid w:val="007B2901"/>
    <w:rsid w:val="007B2DB5"/>
    <w:rsid w:val="007B4584"/>
    <w:rsid w:val="007B484A"/>
    <w:rsid w:val="007D15F8"/>
    <w:rsid w:val="007D5D4D"/>
    <w:rsid w:val="007D7B80"/>
    <w:rsid w:val="007E5A23"/>
    <w:rsid w:val="007F3C16"/>
    <w:rsid w:val="00817D80"/>
    <w:rsid w:val="008225C5"/>
    <w:rsid w:val="008261BE"/>
    <w:rsid w:val="00834ACD"/>
    <w:rsid w:val="008377E4"/>
    <w:rsid w:val="00842F84"/>
    <w:rsid w:val="008441DE"/>
    <w:rsid w:val="00847AE5"/>
    <w:rsid w:val="00852EFC"/>
    <w:rsid w:val="0086166D"/>
    <w:rsid w:val="00866BF7"/>
    <w:rsid w:val="00867E29"/>
    <w:rsid w:val="00872C39"/>
    <w:rsid w:val="008759AF"/>
    <w:rsid w:val="00881150"/>
    <w:rsid w:val="0088219F"/>
    <w:rsid w:val="008B674D"/>
    <w:rsid w:val="008C0C52"/>
    <w:rsid w:val="008C27F2"/>
    <w:rsid w:val="008C7F43"/>
    <w:rsid w:val="008D2316"/>
    <w:rsid w:val="008D32C5"/>
    <w:rsid w:val="008E538A"/>
    <w:rsid w:val="008E5926"/>
    <w:rsid w:val="008E7532"/>
    <w:rsid w:val="008F6FB0"/>
    <w:rsid w:val="008F70A6"/>
    <w:rsid w:val="0090047C"/>
    <w:rsid w:val="00901D60"/>
    <w:rsid w:val="009042F4"/>
    <w:rsid w:val="00904FCA"/>
    <w:rsid w:val="00920392"/>
    <w:rsid w:val="00927556"/>
    <w:rsid w:val="0093378E"/>
    <w:rsid w:val="00933FA6"/>
    <w:rsid w:val="00945DEB"/>
    <w:rsid w:val="00946F66"/>
    <w:rsid w:val="0095733E"/>
    <w:rsid w:val="009848A4"/>
    <w:rsid w:val="00985F9F"/>
    <w:rsid w:val="009926C1"/>
    <w:rsid w:val="009A0851"/>
    <w:rsid w:val="009A7713"/>
    <w:rsid w:val="009B2EDF"/>
    <w:rsid w:val="009C17D6"/>
    <w:rsid w:val="009C1D7D"/>
    <w:rsid w:val="009C39C8"/>
    <w:rsid w:val="009D2026"/>
    <w:rsid w:val="009E0D82"/>
    <w:rsid w:val="009E0FB4"/>
    <w:rsid w:val="009E3EA3"/>
    <w:rsid w:val="009F3C56"/>
    <w:rsid w:val="009F57C9"/>
    <w:rsid w:val="009F62AA"/>
    <w:rsid w:val="00A03155"/>
    <w:rsid w:val="00A03ADF"/>
    <w:rsid w:val="00A05208"/>
    <w:rsid w:val="00A108D6"/>
    <w:rsid w:val="00A16DCA"/>
    <w:rsid w:val="00A20CFB"/>
    <w:rsid w:val="00A27415"/>
    <w:rsid w:val="00A27CC1"/>
    <w:rsid w:val="00A34758"/>
    <w:rsid w:val="00A4272E"/>
    <w:rsid w:val="00A435A5"/>
    <w:rsid w:val="00A56876"/>
    <w:rsid w:val="00A57AA7"/>
    <w:rsid w:val="00A67CBF"/>
    <w:rsid w:val="00A76561"/>
    <w:rsid w:val="00A80A69"/>
    <w:rsid w:val="00A82090"/>
    <w:rsid w:val="00A83599"/>
    <w:rsid w:val="00A83863"/>
    <w:rsid w:val="00A938F3"/>
    <w:rsid w:val="00A9708C"/>
    <w:rsid w:val="00A97918"/>
    <w:rsid w:val="00AB3DC0"/>
    <w:rsid w:val="00AC1714"/>
    <w:rsid w:val="00AC2FE6"/>
    <w:rsid w:val="00AC4D92"/>
    <w:rsid w:val="00AC65C3"/>
    <w:rsid w:val="00AD0CDD"/>
    <w:rsid w:val="00AD3B3A"/>
    <w:rsid w:val="00AE5EBF"/>
    <w:rsid w:val="00AE7688"/>
    <w:rsid w:val="00AF68C6"/>
    <w:rsid w:val="00AF7474"/>
    <w:rsid w:val="00B03AAB"/>
    <w:rsid w:val="00B11543"/>
    <w:rsid w:val="00B35DA4"/>
    <w:rsid w:val="00B44BB5"/>
    <w:rsid w:val="00B504C9"/>
    <w:rsid w:val="00B55EDE"/>
    <w:rsid w:val="00B5721A"/>
    <w:rsid w:val="00B64A5C"/>
    <w:rsid w:val="00B670EA"/>
    <w:rsid w:val="00B82F19"/>
    <w:rsid w:val="00BA7388"/>
    <w:rsid w:val="00BB67A8"/>
    <w:rsid w:val="00BD2D81"/>
    <w:rsid w:val="00BD78DC"/>
    <w:rsid w:val="00BD7DC8"/>
    <w:rsid w:val="00BE1C5B"/>
    <w:rsid w:val="00BF175F"/>
    <w:rsid w:val="00BF2D6F"/>
    <w:rsid w:val="00C008C4"/>
    <w:rsid w:val="00C047F1"/>
    <w:rsid w:val="00C10107"/>
    <w:rsid w:val="00C15784"/>
    <w:rsid w:val="00C27265"/>
    <w:rsid w:val="00C305EB"/>
    <w:rsid w:val="00C47D48"/>
    <w:rsid w:val="00C8505D"/>
    <w:rsid w:val="00C86C05"/>
    <w:rsid w:val="00C91A71"/>
    <w:rsid w:val="00C9424A"/>
    <w:rsid w:val="00CA4AEE"/>
    <w:rsid w:val="00CA7F5A"/>
    <w:rsid w:val="00CB377E"/>
    <w:rsid w:val="00CB6CFE"/>
    <w:rsid w:val="00CC10C8"/>
    <w:rsid w:val="00CC52F8"/>
    <w:rsid w:val="00CC6B0A"/>
    <w:rsid w:val="00CC7856"/>
    <w:rsid w:val="00CD4E44"/>
    <w:rsid w:val="00CD5676"/>
    <w:rsid w:val="00CD6857"/>
    <w:rsid w:val="00CF100C"/>
    <w:rsid w:val="00CF1B10"/>
    <w:rsid w:val="00CF5B33"/>
    <w:rsid w:val="00CF5CBE"/>
    <w:rsid w:val="00D00359"/>
    <w:rsid w:val="00D029A2"/>
    <w:rsid w:val="00D0727D"/>
    <w:rsid w:val="00D15273"/>
    <w:rsid w:val="00D36B48"/>
    <w:rsid w:val="00D5179A"/>
    <w:rsid w:val="00D539AD"/>
    <w:rsid w:val="00D5638D"/>
    <w:rsid w:val="00D70E4D"/>
    <w:rsid w:val="00D71F37"/>
    <w:rsid w:val="00D73F7B"/>
    <w:rsid w:val="00D80256"/>
    <w:rsid w:val="00D8513D"/>
    <w:rsid w:val="00D86166"/>
    <w:rsid w:val="00D90338"/>
    <w:rsid w:val="00DA3822"/>
    <w:rsid w:val="00DA63DF"/>
    <w:rsid w:val="00DB2A46"/>
    <w:rsid w:val="00DB2E63"/>
    <w:rsid w:val="00DC1A91"/>
    <w:rsid w:val="00DC435A"/>
    <w:rsid w:val="00DC6AF4"/>
    <w:rsid w:val="00DE1942"/>
    <w:rsid w:val="00DF1E21"/>
    <w:rsid w:val="00DF228B"/>
    <w:rsid w:val="00E0679D"/>
    <w:rsid w:val="00E06AB6"/>
    <w:rsid w:val="00E265DE"/>
    <w:rsid w:val="00E320BA"/>
    <w:rsid w:val="00E41229"/>
    <w:rsid w:val="00E42349"/>
    <w:rsid w:val="00E461A6"/>
    <w:rsid w:val="00E51777"/>
    <w:rsid w:val="00E52B66"/>
    <w:rsid w:val="00E562CB"/>
    <w:rsid w:val="00E72D02"/>
    <w:rsid w:val="00E77205"/>
    <w:rsid w:val="00E82068"/>
    <w:rsid w:val="00E833D9"/>
    <w:rsid w:val="00E85DFB"/>
    <w:rsid w:val="00E9067D"/>
    <w:rsid w:val="00E96DF0"/>
    <w:rsid w:val="00EA7CCA"/>
    <w:rsid w:val="00EB22D1"/>
    <w:rsid w:val="00EB737E"/>
    <w:rsid w:val="00EC0C77"/>
    <w:rsid w:val="00ED1492"/>
    <w:rsid w:val="00ED26A2"/>
    <w:rsid w:val="00ED28EF"/>
    <w:rsid w:val="00ED318F"/>
    <w:rsid w:val="00EE1DF0"/>
    <w:rsid w:val="00EE3944"/>
    <w:rsid w:val="00EE76C1"/>
    <w:rsid w:val="00EF22E2"/>
    <w:rsid w:val="00EF235D"/>
    <w:rsid w:val="00EF23D8"/>
    <w:rsid w:val="00F0535E"/>
    <w:rsid w:val="00F36FF2"/>
    <w:rsid w:val="00F40574"/>
    <w:rsid w:val="00F41595"/>
    <w:rsid w:val="00F448DB"/>
    <w:rsid w:val="00F52C28"/>
    <w:rsid w:val="00F56ED3"/>
    <w:rsid w:val="00F66950"/>
    <w:rsid w:val="00F71340"/>
    <w:rsid w:val="00F718D7"/>
    <w:rsid w:val="00F7499D"/>
    <w:rsid w:val="00F800F0"/>
    <w:rsid w:val="00F808E8"/>
    <w:rsid w:val="00F839C2"/>
    <w:rsid w:val="00F91D51"/>
    <w:rsid w:val="00F96C8C"/>
    <w:rsid w:val="00FA29E7"/>
    <w:rsid w:val="00FB1D06"/>
    <w:rsid w:val="00FC09E8"/>
    <w:rsid w:val="00FC3275"/>
    <w:rsid w:val="00FC40BB"/>
    <w:rsid w:val="00FD1EFC"/>
    <w:rsid w:val="00FD4C2E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32F7D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  <w:style w:type="character" w:customStyle="1" w:styleId="file-info">
    <w:name w:val="file-info"/>
    <w:basedOn w:val="DefaultParagraphFont"/>
    <w:rsid w:val="007B2DB5"/>
  </w:style>
  <w:style w:type="character" w:customStyle="1" w:styleId="file-type">
    <w:name w:val="file-type"/>
    <w:basedOn w:val="DefaultParagraphFont"/>
    <w:rsid w:val="007B2DB5"/>
  </w:style>
  <w:style w:type="character" w:customStyle="1" w:styleId="file-size">
    <w:name w:val="file-size"/>
    <w:basedOn w:val="DefaultParagraphFont"/>
    <w:rsid w:val="007B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9874FB3D72D44B81FD176E63DE82E" ma:contentTypeVersion="5" ma:contentTypeDescription="Create a new document." ma:contentTypeScope="" ma:versionID="d1d245cdecc3cfd839a9e6b824d32062">
  <xsd:schema xmlns:xsd="http://www.w3.org/2001/XMLSchema" xmlns:xs="http://www.w3.org/2001/XMLSchema" xmlns:p="http://schemas.microsoft.com/office/2006/metadata/properties" xmlns:ns1="http://schemas.microsoft.com/sharepoint/v3" xmlns:ns2="92dbecb4-1e58-408c-a8dc-80e2646a4080" xmlns:ns3="6c985239-ab62-47a3-88cf-9c62fab9c50a" targetNamespace="http://schemas.microsoft.com/office/2006/metadata/properties" ma:root="true" ma:fieldsID="de599dcd15b339f392a51a72159747c6" ns1:_="" ns2:_="" ns3:_="">
    <xsd:import namespace="http://schemas.microsoft.com/sharepoint/v3"/>
    <xsd:import namespace="92dbecb4-1e58-408c-a8dc-80e2646a4080"/>
    <xsd:import namespace="6c985239-ab62-47a3-88cf-9c62fab9c5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85239-ab62-47a3-88cf-9c62fab9c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92dbecb4-1e58-408c-a8dc-80e2646a4080">UWF2DM6ZDUWT-1068547882-6</_dlc_DocId>
    <_dlc_DocIdUrl xmlns="92dbecb4-1e58-408c-a8dc-80e2646a4080">
      <Url>https://innerwest.sharepoint.com/sites/intranet/howwework/communityengagement/_layouts/15/DocIdRedir.aspx?ID=UWF2DM6ZDUWT-1068547882-6</Url>
      <Description>UWF2DM6ZDUWT-1068547882-6</Description>
    </_dlc_DocIdUrl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2C56B-2367-4C39-BF37-79DABD87B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dbecb4-1e58-408c-a8dc-80e2646a4080"/>
    <ds:schemaRef ds:uri="6c985239-ab62-47a3-88cf-9c62fab9c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9A687-BC30-4F75-8F3F-7D15AA56D8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B82049-CDC5-4C6A-BF8C-E06143CBC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DBFF8-1C2B-457B-9F78-03D4DC2042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D3CEAD-4913-445F-B78B-FA4472843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2dbecb4-1e58-408c-a8dc-80e2646a4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Renata Krchnakova</cp:lastModifiedBy>
  <cp:revision>2</cp:revision>
  <cp:lastPrinted>2021-10-25T03:54:00Z</cp:lastPrinted>
  <dcterms:created xsi:type="dcterms:W3CDTF">2021-12-01T02:16:00Z</dcterms:created>
  <dcterms:modified xsi:type="dcterms:W3CDTF">2021-12-01T02:16:00Z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0x0101007AD9874FB3D72D44B81FD176E63DE82E</vt:lpwstr>
  </property>
  <property fmtid="{D5CDD505-2E9C-101B-9397-08002B2CF9AE}" pid="3" name="_dlc_DocIdItemGuid">
    <vt:lpwstr>c346b664-a1c9-4042-86cb-a9f0704d1dfa</vt:lpwstr>
  </property>
</Properties>
</file>