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66488" w14:textId="77777777" w:rsidR="00767FAA" w:rsidRPr="00A938F3" w:rsidRDefault="00767FAA" w:rsidP="00767FAA">
      <w:pPr>
        <w:pStyle w:val="Heading1"/>
        <w:rPr>
          <w:sz w:val="48"/>
          <w:szCs w:val="48"/>
        </w:rPr>
      </w:pPr>
      <w:r w:rsidRPr="00A938F3">
        <w:rPr>
          <w:sz w:val="48"/>
          <w:szCs w:val="48"/>
        </w:rPr>
        <w:t>Engagement outcomes report</w:t>
      </w:r>
    </w:p>
    <w:p w14:paraId="016B9698" w14:textId="77777777" w:rsidR="00177095" w:rsidRPr="00A938F3" w:rsidRDefault="00DF1E21" w:rsidP="00767FAA">
      <w:pPr>
        <w:pStyle w:val="Heading1"/>
        <w:rPr>
          <w:sz w:val="48"/>
          <w:szCs w:val="48"/>
        </w:rPr>
      </w:pPr>
      <w:r>
        <w:rPr>
          <w:sz w:val="48"/>
          <w:szCs w:val="48"/>
        </w:rPr>
        <w:t>Revised Community Engagement Framework</w:t>
      </w:r>
    </w:p>
    <w:p w14:paraId="177CE8E3" w14:textId="77777777" w:rsidR="005A647C" w:rsidRPr="00A938F3" w:rsidRDefault="00A05208" w:rsidP="00767FAA">
      <w:pPr>
        <w:pStyle w:val="Heading2"/>
        <w:rPr>
          <w:sz w:val="36"/>
          <w:szCs w:val="36"/>
        </w:rPr>
      </w:pPr>
      <w:r w:rsidRPr="00A938F3">
        <w:rPr>
          <w:sz w:val="36"/>
          <w:szCs w:val="36"/>
        </w:rPr>
        <w:t>Summary</w:t>
      </w:r>
    </w:p>
    <w:p w14:paraId="2DFF11A0" w14:textId="77777777" w:rsidR="00A05208" w:rsidRPr="007B4584" w:rsidRDefault="00A938F3" w:rsidP="00A05208">
      <w:pPr>
        <w:rPr>
          <w:rFonts w:ascii="Arial" w:hAnsi="Arial" w:cs="Arial"/>
        </w:rPr>
      </w:pPr>
      <w:r w:rsidRPr="00A938F3">
        <w:rPr>
          <w:rFonts w:ascii="Arial" w:hAnsi="Arial" w:cs="Arial"/>
          <w:noProof/>
        </w:rPr>
        <mc:AlternateContent>
          <mc:Choice Requires="wps">
            <w:drawing>
              <wp:inline distT="0" distB="0" distL="0" distR="0" wp14:anchorId="18252B45" wp14:editId="64F9C304">
                <wp:extent cx="5731510" cy="1955801"/>
                <wp:effectExtent l="0" t="0" r="2159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55801"/>
                        </a:xfrm>
                        <a:prstGeom prst="rect">
                          <a:avLst/>
                        </a:prstGeom>
                        <a:solidFill>
                          <a:schemeClr val="accent1">
                            <a:lumMod val="20000"/>
                            <a:lumOff val="80000"/>
                          </a:schemeClr>
                        </a:solidFill>
                        <a:ln w="9525">
                          <a:solidFill>
                            <a:srgbClr val="000000"/>
                          </a:solidFill>
                          <a:miter lim="800000"/>
                          <a:headEnd/>
                          <a:tailEnd/>
                        </a:ln>
                      </wps:spPr>
                      <wps:txbx>
                        <w:txbxContent>
                          <w:p w14:paraId="642CE825" w14:textId="77777777" w:rsidR="00A938F3" w:rsidRPr="004C34CE" w:rsidRDefault="00DF1E21" w:rsidP="00DF1E21">
                            <w:pPr>
                              <w:spacing w:before="240"/>
                              <w:rPr>
                                <w:rFonts w:ascii="Arial" w:hAnsi="Arial" w:cs="Arial"/>
                                <w:color w:val="040000"/>
                              </w:rPr>
                            </w:pPr>
                            <w:r w:rsidRPr="004C34CE">
                              <w:rPr>
                                <w:rFonts w:ascii="Arial" w:hAnsi="Arial" w:cs="Arial"/>
                              </w:rPr>
                              <w:t xml:space="preserve">Council revised the Community Engagement Framework to include a </w:t>
                            </w:r>
                            <w:r w:rsidRPr="004C34CE">
                              <w:rPr>
                                <w:rFonts w:ascii="Arial" w:hAnsi="Arial" w:cs="Arial"/>
                                <w:color w:val="040000"/>
                              </w:rPr>
                              <w:t>new section about land use planning and development assessment</w:t>
                            </w:r>
                            <w:r w:rsidR="001C6E5F" w:rsidRPr="004C34CE">
                              <w:rPr>
                                <w:rFonts w:ascii="Arial" w:hAnsi="Arial" w:cs="Arial"/>
                                <w:color w:val="040000"/>
                              </w:rPr>
                              <w:t>, as required by legislation</w:t>
                            </w:r>
                            <w:r w:rsidRPr="004C34CE">
                              <w:rPr>
                                <w:rFonts w:ascii="Arial" w:hAnsi="Arial" w:cs="Arial"/>
                                <w:color w:val="040000"/>
                              </w:rPr>
                              <w:t>.</w:t>
                            </w:r>
                            <w:r w:rsidR="00582881" w:rsidRPr="004C34CE">
                              <w:rPr>
                                <w:rFonts w:ascii="Arial" w:hAnsi="Arial" w:cs="Arial"/>
                                <w:color w:val="040000"/>
                              </w:rPr>
                              <w:t xml:space="preserve"> Minor </w:t>
                            </w:r>
                            <w:r w:rsidR="001C6E5F" w:rsidRPr="004C34CE">
                              <w:rPr>
                                <w:rFonts w:ascii="Arial" w:hAnsi="Arial" w:cs="Arial"/>
                                <w:color w:val="040000"/>
                              </w:rPr>
                              <w:t>changes</w:t>
                            </w:r>
                            <w:r w:rsidR="00582881" w:rsidRPr="004C34CE">
                              <w:rPr>
                                <w:rFonts w:ascii="Arial" w:hAnsi="Arial" w:cs="Arial"/>
                                <w:color w:val="040000"/>
                              </w:rPr>
                              <w:t xml:space="preserve"> were also made to </w:t>
                            </w:r>
                            <w:r w:rsidR="001C6E5F" w:rsidRPr="004C34CE">
                              <w:rPr>
                                <w:rFonts w:ascii="Arial" w:hAnsi="Arial" w:cs="Arial"/>
                                <w:color w:val="040000"/>
                              </w:rPr>
                              <w:t xml:space="preserve">include new information such as community profile data. </w:t>
                            </w:r>
                          </w:p>
                          <w:p w14:paraId="29D2BB85" w14:textId="77777777" w:rsidR="00615D5D" w:rsidRPr="004C34CE" w:rsidRDefault="00615D5D" w:rsidP="00DF1E21">
                            <w:pPr>
                              <w:spacing w:before="240"/>
                              <w:rPr>
                                <w:rFonts w:ascii="Arial" w:hAnsi="Arial" w:cs="Arial"/>
                              </w:rPr>
                            </w:pPr>
                            <w:r w:rsidRPr="004C34CE">
                              <w:rPr>
                                <w:rFonts w:ascii="Arial" w:hAnsi="Arial" w:cs="Arial"/>
                                <w:color w:val="040000"/>
                              </w:rPr>
                              <w:t xml:space="preserve">The revised draft Community Engagement Framework was publicly exhibited from </w:t>
                            </w:r>
                            <w:r w:rsidR="008C10CE" w:rsidRPr="004C34CE">
                              <w:rPr>
                                <w:rFonts w:ascii="Arial" w:hAnsi="Arial" w:cs="Arial"/>
                              </w:rPr>
                              <w:t>15 October-12 November 2019</w:t>
                            </w:r>
                            <w:r w:rsidR="008C10CE" w:rsidRPr="004C34CE">
                              <w:rPr>
                                <w:rFonts w:ascii="Arial" w:hAnsi="Arial" w:cs="Arial"/>
                              </w:rPr>
                              <w:t xml:space="preserve">. </w:t>
                            </w:r>
                          </w:p>
                          <w:p w14:paraId="14709C42" w14:textId="77777777" w:rsidR="00A938F3" w:rsidRPr="004C34CE" w:rsidRDefault="008C10CE" w:rsidP="004C34CE">
                            <w:pPr>
                              <w:spacing w:before="240"/>
                              <w:rPr>
                                <w:rFonts w:ascii="Arial" w:hAnsi="Arial" w:cs="Arial"/>
                              </w:rPr>
                            </w:pPr>
                            <w:r w:rsidRPr="004C34CE">
                              <w:rPr>
                                <w:rFonts w:ascii="Arial" w:hAnsi="Arial" w:cs="Arial"/>
                              </w:rPr>
                              <w:t xml:space="preserve">Six submissions were received, five of which supported or were unsure/neutral about the Framework. One was opposed as the respondent believed </w:t>
                            </w:r>
                            <w:r w:rsidRPr="004C34CE">
                              <w:rPr>
                                <w:rFonts w:ascii="Arial" w:hAnsi="Arial" w:cs="Arial"/>
                              </w:rPr>
                              <w:t xml:space="preserve">the planning section should have been </w:t>
                            </w:r>
                            <w:r w:rsidR="004C34CE">
                              <w:rPr>
                                <w:rFonts w:ascii="Arial" w:hAnsi="Arial" w:cs="Arial"/>
                              </w:rPr>
                              <w:t xml:space="preserve">in </w:t>
                            </w:r>
                            <w:r w:rsidRPr="004C34CE">
                              <w:rPr>
                                <w:rFonts w:ascii="Arial" w:hAnsi="Arial" w:cs="Arial"/>
                              </w:rPr>
                              <w:t>a separate document.</w:t>
                            </w:r>
                          </w:p>
                        </w:txbxContent>
                      </wps:txbx>
                      <wps:bodyPr rot="0" vert="horz" wrap="square" lIns="91440" tIns="45720" rIns="91440" bIns="45720" anchor="t" anchorCtr="0">
                        <a:spAutoFit/>
                      </wps:bodyPr>
                    </wps:wsp>
                  </a:graphicData>
                </a:graphic>
              </wp:inline>
            </w:drawing>
          </mc:Choice>
          <mc:Fallback>
            <w:pict>
              <v:shapetype w14:anchorId="18252B45" id="_x0000_t202" coordsize="21600,21600" o:spt="202" path="m,l,21600r21600,l21600,xe">
                <v:stroke joinstyle="miter"/>
                <v:path gradientshapeok="t" o:connecttype="rect"/>
              </v:shapetype>
              <v:shape id="Text Box 2" o:spid="_x0000_s1026" type="#_x0000_t202" style="width:451.3pt;height: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" fillcolor="#d9e2f3 [660]">
                <v:textbox style="mso-fit-shape-to-text:t">
                  <w:txbxContent>
                    <w:p w14:paraId="642CE825" w14:textId="77777777" w:rsidR="00A938F3" w:rsidRPr="004C34CE" w:rsidRDefault="00DF1E21" w:rsidP="00DF1E21">
                      <w:pPr>
                        <w:spacing w:before="240"/>
                        <w:rPr>
                          <w:rFonts w:ascii="Arial" w:hAnsi="Arial" w:cs="Arial"/>
                          <w:color w:val="040000"/>
                        </w:rPr>
                      </w:pPr>
                      <w:r w:rsidRPr="004C34CE">
                        <w:rPr>
                          <w:rFonts w:ascii="Arial" w:hAnsi="Arial" w:cs="Arial"/>
                        </w:rPr>
                        <w:t xml:space="preserve">Council revised the Community Engagement Framework to include a </w:t>
                      </w:r>
                      <w:r w:rsidRPr="004C34CE">
                        <w:rPr>
                          <w:rFonts w:ascii="Arial" w:hAnsi="Arial" w:cs="Arial"/>
                          <w:color w:val="040000"/>
                        </w:rPr>
                        <w:t>new section about land use planning and development assessment</w:t>
                      </w:r>
                      <w:r w:rsidR="001C6E5F" w:rsidRPr="004C34CE">
                        <w:rPr>
                          <w:rFonts w:ascii="Arial" w:hAnsi="Arial" w:cs="Arial"/>
                          <w:color w:val="040000"/>
                        </w:rPr>
                        <w:t>, as required by legislation</w:t>
                      </w:r>
                      <w:r w:rsidRPr="004C34CE">
                        <w:rPr>
                          <w:rFonts w:ascii="Arial" w:hAnsi="Arial" w:cs="Arial"/>
                          <w:color w:val="040000"/>
                        </w:rPr>
                        <w:t>.</w:t>
                      </w:r>
                      <w:r w:rsidR="00582881" w:rsidRPr="004C34CE">
                        <w:rPr>
                          <w:rFonts w:ascii="Arial" w:hAnsi="Arial" w:cs="Arial"/>
                          <w:color w:val="040000"/>
                        </w:rPr>
                        <w:t xml:space="preserve"> Minor </w:t>
                      </w:r>
                      <w:r w:rsidR="001C6E5F" w:rsidRPr="004C34CE">
                        <w:rPr>
                          <w:rFonts w:ascii="Arial" w:hAnsi="Arial" w:cs="Arial"/>
                          <w:color w:val="040000"/>
                        </w:rPr>
                        <w:t>changes</w:t>
                      </w:r>
                      <w:r w:rsidR="00582881" w:rsidRPr="004C34CE">
                        <w:rPr>
                          <w:rFonts w:ascii="Arial" w:hAnsi="Arial" w:cs="Arial"/>
                          <w:color w:val="040000"/>
                        </w:rPr>
                        <w:t xml:space="preserve"> were also made to </w:t>
                      </w:r>
                      <w:r w:rsidR="001C6E5F" w:rsidRPr="004C34CE">
                        <w:rPr>
                          <w:rFonts w:ascii="Arial" w:hAnsi="Arial" w:cs="Arial"/>
                          <w:color w:val="040000"/>
                        </w:rPr>
                        <w:t xml:space="preserve">include new information such as community profile data. </w:t>
                      </w:r>
                    </w:p>
                    <w:p w14:paraId="29D2BB85" w14:textId="77777777" w:rsidR="00615D5D" w:rsidRPr="004C34CE" w:rsidRDefault="00615D5D" w:rsidP="00DF1E21">
                      <w:pPr>
                        <w:spacing w:before="240"/>
                        <w:rPr>
                          <w:rFonts w:ascii="Arial" w:hAnsi="Arial" w:cs="Arial"/>
                        </w:rPr>
                      </w:pPr>
                      <w:r w:rsidRPr="004C34CE">
                        <w:rPr>
                          <w:rFonts w:ascii="Arial" w:hAnsi="Arial" w:cs="Arial"/>
                          <w:color w:val="040000"/>
                        </w:rPr>
                        <w:t xml:space="preserve">The revised draft Community Engagement Framework was publicly exhibited from </w:t>
                      </w:r>
                      <w:r w:rsidR="008C10CE" w:rsidRPr="004C34CE">
                        <w:rPr>
                          <w:rFonts w:ascii="Arial" w:hAnsi="Arial" w:cs="Arial"/>
                        </w:rPr>
                        <w:t>15 October-12 November 2019</w:t>
                      </w:r>
                      <w:r w:rsidR="008C10CE" w:rsidRPr="004C34CE">
                        <w:rPr>
                          <w:rFonts w:ascii="Arial" w:hAnsi="Arial" w:cs="Arial"/>
                        </w:rPr>
                        <w:t xml:space="preserve">. </w:t>
                      </w:r>
                    </w:p>
                    <w:p w14:paraId="14709C42" w14:textId="77777777" w:rsidR="00A938F3" w:rsidRPr="004C34CE" w:rsidRDefault="008C10CE" w:rsidP="004C34CE">
                      <w:pPr>
                        <w:spacing w:before="240"/>
                        <w:rPr>
                          <w:rFonts w:ascii="Arial" w:hAnsi="Arial" w:cs="Arial"/>
                        </w:rPr>
                      </w:pPr>
                      <w:r w:rsidRPr="004C34CE">
                        <w:rPr>
                          <w:rFonts w:ascii="Arial" w:hAnsi="Arial" w:cs="Arial"/>
                        </w:rPr>
                        <w:t xml:space="preserve">Six submissions were received, five of which supported or were unsure/neutral about the Framework. One was opposed as the respondent believed </w:t>
                      </w:r>
                      <w:r w:rsidRPr="004C34CE">
                        <w:rPr>
                          <w:rFonts w:ascii="Arial" w:hAnsi="Arial" w:cs="Arial"/>
                        </w:rPr>
                        <w:t xml:space="preserve">the planning section should have been </w:t>
                      </w:r>
                      <w:r w:rsidR="004C34CE">
                        <w:rPr>
                          <w:rFonts w:ascii="Arial" w:hAnsi="Arial" w:cs="Arial"/>
                        </w:rPr>
                        <w:t xml:space="preserve">in </w:t>
                      </w:r>
                      <w:r w:rsidRPr="004C34CE">
                        <w:rPr>
                          <w:rFonts w:ascii="Arial" w:hAnsi="Arial" w:cs="Arial"/>
                        </w:rPr>
                        <w:t>a separate document.</w:t>
                      </w:r>
                    </w:p>
                  </w:txbxContent>
                </v:textbox>
                <w10:anchorlock/>
              </v:shape>
            </w:pict>
          </mc:Fallback>
        </mc:AlternateContent>
      </w:r>
    </w:p>
    <w:p w14:paraId="2D53FF34" w14:textId="77777777" w:rsidR="007B4584" w:rsidRDefault="007B4584" w:rsidP="005A647C"/>
    <w:p w14:paraId="0A724872" w14:textId="77777777" w:rsidR="007B4584" w:rsidRPr="00A938F3" w:rsidRDefault="007B4584" w:rsidP="00767FAA">
      <w:pPr>
        <w:pStyle w:val="Heading2"/>
        <w:rPr>
          <w:sz w:val="36"/>
          <w:szCs w:val="36"/>
        </w:rPr>
      </w:pPr>
      <w:r w:rsidRPr="00A938F3">
        <w:rPr>
          <w:sz w:val="36"/>
          <w:szCs w:val="36"/>
        </w:rPr>
        <w:t>Background</w:t>
      </w:r>
    </w:p>
    <w:p w14:paraId="5D51F160" w14:textId="77777777" w:rsidR="007B4584" w:rsidRDefault="007B4584" w:rsidP="007B4584"/>
    <w:p w14:paraId="2BA5DBA9" w14:textId="77777777" w:rsidR="00DF1E21" w:rsidRPr="006C6680" w:rsidRDefault="00DF1E21" w:rsidP="007B4584">
      <w:pPr>
        <w:rPr>
          <w:rFonts w:ascii="Arial" w:hAnsi="Arial" w:cs="Arial"/>
        </w:rPr>
      </w:pPr>
      <w:r w:rsidRPr="006C6680">
        <w:rPr>
          <w:rFonts w:ascii="Arial" w:hAnsi="Arial" w:cs="Arial"/>
          <w:color w:val="040000"/>
          <w:sz w:val="21"/>
          <w:szCs w:val="21"/>
        </w:rPr>
        <w:t xml:space="preserve">Recent State Government reforms to the Environmental Planning and Assessment Act aim to increase community participation in planning matters by making the process easier to understand. Council </w:t>
      </w:r>
      <w:r w:rsidR="009C4C66">
        <w:rPr>
          <w:rFonts w:ascii="Arial" w:hAnsi="Arial" w:cs="Arial"/>
          <w:color w:val="040000"/>
          <w:sz w:val="21"/>
          <w:szCs w:val="21"/>
        </w:rPr>
        <w:t>has</w:t>
      </w:r>
      <w:r w:rsidRPr="006C6680">
        <w:rPr>
          <w:rFonts w:ascii="Arial" w:hAnsi="Arial" w:cs="Arial"/>
          <w:color w:val="040000"/>
          <w:sz w:val="21"/>
          <w:szCs w:val="21"/>
        </w:rPr>
        <w:t xml:space="preserve"> </w:t>
      </w:r>
      <w:r w:rsidRPr="006C6680">
        <w:rPr>
          <w:rFonts w:ascii="Arial" w:hAnsi="Arial" w:cs="Arial"/>
        </w:rPr>
        <w:t>amend</w:t>
      </w:r>
      <w:r w:rsidR="009C4C66">
        <w:rPr>
          <w:rFonts w:ascii="Arial" w:hAnsi="Arial" w:cs="Arial"/>
        </w:rPr>
        <w:t>ed</w:t>
      </w:r>
      <w:r w:rsidRPr="006C6680">
        <w:rPr>
          <w:rFonts w:ascii="Arial" w:hAnsi="Arial" w:cs="Arial"/>
        </w:rPr>
        <w:t xml:space="preserve"> its </w:t>
      </w:r>
      <w:r w:rsidRPr="009C4C66">
        <w:rPr>
          <w:rFonts w:ascii="Arial" w:hAnsi="Arial" w:cs="Arial"/>
          <w:i/>
        </w:rPr>
        <w:t>Community Engagement Framework</w:t>
      </w:r>
      <w:r w:rsidR="009C4C66">
        <w:rPr>
          <w:rFonts w:ascii="Arial" w:hAnsi="Arial" w:cs="Arial"/>
        </w:rPr>
        <w:t xml:space="preserve"> to incorporate the changes.</w:t>
      </w:r>
      <w:r w:rsidRPr="006C6680">
        <w:rPr>
          <w:rFonts w:ascii="Arial" w:hAnsi="Arial" w:cs="Arial"/>
        </w:rPr>
        <w:t xml:space="preserve">  </w:t>
      </w:r>
    </w:p>
    <w:p w14:paraId="14E8B438" w14:textId="77777777" w:rsidR="007B4584" w:rsidRPr="009C4C66" w:rsidRDefault="00DF1E21" w:rsidP="007B4584">
      <w:pPr>
        <w:rPr>
          <w:rFonts w:ascii="Arial" w:hAnsi="Arial" w:cs="Arial"/>
          <w:color w:val="040000"/>
          <w:sz w:val="21"/>
          <w:szCs w:val="21"/>
        </w:rPr>
      </w:pPr>
      <w:r w:rsidRPr="006C6680">
        <w:rPr>
          <w:rFonts w:ascii="Arial" w:hAnsi="Arial" w:cs="Arial"/>
          <w:color w:val="040000"/>
          <w:sz w:val="21"/>
          <w:szCs w:val="21"/>
        </w:rPr>
        <w:t xml:space="preserve">The new section 5 in the </w:t>
      </w:r>
      <w:r w:rsidR="007A7ACB" w:rsidRPr="006C6680">
        <w:rPr>
          <w:rFonts w:ascii="Arial" w:hAnsi="Arial" w:cs="Arial"/>
          <w:color w:val="040000"/>
          <w:sz w:val="21"/>
          <w:szCs w:val="21"/>
        </w:rPr>
        <w:t xml:space="preserve">draft </w:t>
      </w:r>
      <w:r w:rsidRPr="006C6680">
        <w:rPr>
          <w:rStyle w:val="Emphasis"/>
          <w:rFonts w:ascii="Arial" w:hAnsi="Arial" w:cs="Arial"/>
          <w:color w:val="040000"/>
          <w:sz w:val="21"/>
          <w:szCs w:val="21"/>
        </w:rPr>
        <w:t xml:space="preserve">Community Engagement Framework </w:t>
      </w:r>
      <w:r w:rsidR="007A7ACB" w:rsidRPr="006C6680">
        <w:rPr>
          <w:rFonts w:ascii="Arial" w:hAnsi="Arial" w:cs="Arial"/>
        </w:rPr>
        <w:t xml:space="preserve">outlines how and when Council engages the community around its planning functions. It includes the minimum mandatory public exhibition timeframes for strategic planning matters including LEP amendments/planning proposals, contributions plans, development control plans, planning agreements, environmental impact assessments, and development and related applications. The section also contains notification requirements for DAs which will replace information currently contained in the three legacy DCPs of the former councils. </w:t>
      </w:r>
    </w:p>
    <w:p w14:paraId="3E56894F" w14:textId="77777777" w:rsidR="008225C5" w:rsidRPr="00A938F3" w:rsidRDefault="00E562CB" w:rsidP="00767FAA">
      <w:pPr>
        <w:pStyle w:val="Heading2"/>
        <w:rPr>
          <w:sz w:val="44"/>
          <w:szCs w:val="44"/>
        </w:rPr>
      </w:pPr>
      <w:r w:rsidRPr="00A938F3">
        <w:rPr>
          <w:sz w:val="44"/>
          <w:szCs w:val="44"/>
        </w:rPr>
        <w:t>Engagement Methods</w:t>
      </w:r>
    </w:p>
    <w:p w14:paraId="18DE61AF" w14:textId="77777777" w:rsidR="008759AF" w:rsidRDefault="009C4C66" w:rsidP="009C4C66">
      <w:pPr>
        <w:spacing w:before="240"/>
        <w:rPr>
          <w:rFonts w:ascii="Arial" w:hAnsi="Arial" w:cs="Arial"/>
        </w:rPr>
      </w:pPr>
      <w:r>
        <w:rPr>
          <w:rFonts w:ascii="Arial" w:hAnsi="Arial" w:cs="Arial"/>
        </w:rPr>
        <w:t>The document was placed on public exhibition:</w:t>
      </w:r>
    </w:p>
    <w:p w14:paraId="26564314" w14:textId="77777777" w:rsidR="009C4C66" w:rsidRPr="009C4C66" w:rsidRDefault="009C4C66" w:rsidP="009C4C66">
      <w:pPr>
        <w:pStyle w:val="ListParagraph"/>
        <w:numPr>
          <w:ilvl w:val="0"/>
          <w:numId w:val="8"/>
        </w:numPr>
        <w:spacing w:before="240"/>
        <w:rPr>
          <w:rFonts w:ascii="Arial" w:hAnsi="Arial" w:cs="Arial"/>
        </w:rPr>
      </w:pPr>
      <w:r w:rsidRPr="009C4C66">
        <w:rPr>
          <w:rFonts w:ascii="Arial" w:hAnsi="Arial" w:cs="Arial"/>
        </w:rPr>
        <w:t>Online at Your Say Inner West</w:t>
      </w:r>
    </w:p>
    <w:p w14:paraId="56581B33" w14:textId="77777777" w:rsidR="009C4C66" w:rsidRPr="009C4C66" w:rsidRDefault="009C4C66" w:rsidP="009C4C66">
      <w:pPr>
        <w:pStyle w:val="ListParagraph"/>
        <w:numPr>
          <w:ilvl w:val="0"/>
          <w:numId w:val="8"/>
        </w:numPr>
        <w:spacing w:before="240"/>
        <w:rPr>
          <w:rFonts w:ascii="Arial" w:hAnsi="Arial" w:cs="Arial"/>
        </w:rPr>
      </w:pPr>
      <w:r w:rsidRPr="009C4C66">
        <w:rPr>
          <w:rFonts w:ascii="Arial" w:hAnsi="Arial" w:cs="Arial"/>
        </w:rPr>
        <w:t>In hard copy at Council’s Service Centres</w:t>
      </w:r>
    </w:p>
    <w:p w14:paraId="0D185191" w14:textId="77777777" w:rsidR="007B4584" w:rsidRPr="00A938F3" w:rsidRDefault="007B4584" w:rsidP="00767FAA">
      <w:pPr>
        <w:pStyle w:val="Heading2"/>
        <w:rPr>
          <w:sz w:val="36"/>
          <w:szCs w:val="36"/>
        </w:rPr>
      </w:pPr>
      <w:r w:rsidRPr="00A938F3">
        <w:rPr>
          <w:sz w:val="36"/>
          <w:szCs w:val="36"/>
        </w:rPr>
        <w:t>Promotion</w:t>
      </w:r>
      <w:r w:rsidR="00327B37" w:rsidRPr="00A938F3">
        <w:rPr>
          <w:sz w:val="36"/>
          <w:szCs w:val="36"/>
        </w:rPr>
        <w:t xml:space="preserve"> </w:t>
      </w:r>
    </w:p>
    <w:p w14:paraId="78FDD993" w14:textId="77777777" w:rsidR="008759AF" w:rsidRDefault="009C4C66" w:rsidP="008759AF">
      <w:pPr>
        <w:spacing w:before="240"/>
        <w:rPr>
          <w:rFonts w:ascii="Arial" w:hAnsi="Arial" w:cs="Arial"/>
        </w:rPr>
      </w:pPr>
      <w:r>
        <w:rPr>
          <w:rFonts w:ascii="Arial" w:hAnsi="Arial" w:cs="Arial"/>
        </w:rPr>
        <w:t>The exhibition was promoted through:</w:t>
      </w:r>
    </w:p>
    <w:p w14:paraId="3D90DB8E" w14:textId="77777777" w:rsidR="009C4C66" w:rsidRPr="009C4C66" w:rsidRDefault="009C4C66" w:rsidP="009C4C66">
      <w:pPr>
        <w:pStyle w:val="ListParagraph"/>
        <w:numPr>
          <w:ilvl w:val="0"/>
          <w:numId w:val="9"/>
        </w:numPr>
        <w:spacing w:before="240"/>
        <w:rPr>
          <w:rFonts w:ascii="Arial" w:hAnsi="Arial" w:cs="Arial"/>
        </w:rPr>
      </w:pPr>
      <w:r w:rsidRPr="009C4C66">
        <w:rPr>
          <w:rFonts w:ascii="Arial" w:hAnsi="Arial" w:cs="Arial"/>
        </w:rPr>
        <w:t>Council page in the Inner West Courier</w:t>
      </w:r>
    </w:p>
    <w:p w14:paraId="7943B9DD" w14:textId="77777777" w:rsidR="009C4C66" w:rsidRPr="009C4C66" w:rsidRDefault="009C4C66" w:rsidP="009C4C66">
      <w:pPr>
        <w:pStyle w:val="ListParagraph"/>
        <w:numPr>
          <w:ilvl w:val="0"/>
          <w:numId w:val="9"/>
        </w:numPr>
        <w:spacing w:before="240"/>
        <w:rPr>
          <w:rFonts w:ascii="Arial" w:hAnsi="Arial" w:cs="Arial"/>
        </w:rPr>
      </w:pPr>
      <w:r w:rsidRPr="009C4C66">
        <w:rPr>
          <w:rFonts w:ascii="Arial" w:hAnsi="Arial" w:cs="Arial"/>
        </w:rPr>
        <w:t>Social media</w:t>
      </w:r>
    </w:p>
    <w:p w14:paraId="363E46FA" w14:textId="77777777" w:rsidR="009C4C66" w:rsidRDefault="009C4C66" w:rsidP="009C4C66">
      <w:pPr>
        <w:pStyle w:val="ListParagraph"/>
        <w:numPr>
          <w:ilvl w:val="0"/>
          <w:numId w:val="9"/>
        </w:numPr>
        <w:spacing w:before="240"/>
        <w:rPr>
          <w:rFonts w:ascii="Arial" w:hAnsi="Arial" w:cs="Arial"/>
        </w:rPr>
      </w:pPr>
      <w:r w:rsidRPr="009C4C66">
        <w:rPr>
          <w:rFonts w:ascii="Arial" w:hAnsi="Arial" w:cs="Arial"/>
        </w:rPr>
        <w:t>E-news</w:t>
      </w:r>
    </w:p>
    <w:p w14:paraId="0E35A9AF" w14:textId="77777777" w:rsidR="009C4C66" w:rsidRDefault="009C4C66" w:rsidP="009C4C66">
      <w:pPr>
        <w:spacing w:before="240"/>
      </w:pPr>
      <w:r>
        <w:rPr>
          <w:noProof/>
        </w:rPr>
        <w:t xml:space="preserve">    </w:t>
      </w:r>
      <w:r>
        <w:rPr>
          <w:noProof/>
        </w:rPr>
        <w:drawing>
          <wp:inline distT="0" distB="0" distL="0" distR="0">
            <wp:extent cx="2901553" cy="3808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41" cy="3838380"/>
                    </a:xfrm>
                    <a:prstGeom prst="rect">
                      <a:avLst/>
                    </a:prstGeom>
                    <a:noFill/>
                    <a:ln>
                      <a:noFill/>
                    </a:ln>
                  </pic:spPr>
                </pic:pic>
              </a:graphicData>
            </a:graphic>
          </wp:inline>
        </w:drawing>
      </w:r>
      <w:r w:rsidRPr="009C4C66">
        <w:t xml:space="preserve"> </w:t>
      </w:r>
      <w:r>
        <w:rPr>
          <w:noProof/>
        </w:rPr>
        <w:drawing>
          <wp:inline distT="0" distB="0" distL="0" distR="0">
            <wp:extent cx="2456464" cy="38385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227" cy="3860081"/>
                    </a:xfrm>
                    <a:prstGeom prst="rect">
                      <a:avLst/>
                    </a:prstGeom>
                    <a:noFill/>
                    <a:ln>
                      <a:noFill/>
                    </a:ln>
                  </pic:spPr>
                </pic:pic>
              </a:graphicData>
            </a:graphic>
          </wp:inline>
        </w:drawing>
      </w:r>
    </w:p>
    <w:p w14:paraId="3BBB4F47" w14:textId="77777777" w:rsidR="008C10CE" w:rsidRPr="009C4C66" w:rsidRDefault="008C10CE" w:rsidP="009C4C66">
      <w:pPr>
        <w:spacing w:before="240"/>
        <w:rPr>
          <w:rFonts w:ascii="Arial" w:hAnsi="Arial" w:cs="Arial"/>
        </w:rPr>
      </w:pPr>
      <w:r>
        <w:t>Your Say Inner West project page</w:t>
      </w:r>
      <w:r>
        <w:tab/>
      </w:r>
      <w:r>
        <w:tab/>
      </w:r>
      <w:r>
        <w:tab/>
        <w:t>Social media post</w:t>
      </w:r>
    </w:p>
    <w:p w14:paraId="1BDD332F" w14:textId="77777777" w:rsidR="00BB2A03" w:rsidRDefault="00BB2A03" w:rsidP="00767FAA">
      <w:pPr>
        <w:pStyle w:val="Heading2"/>
        <w:rPr>
          <w:sz w:val="44"/>
          <w:szCs w:val="44"/>
        </w:rPr>
      </w:pPr>
    </w:p>
    <w:p w14:paraId="10014421" w14:textId="77777777" w:rsidR="00AB3DC0" w:rsidRPr="00A938F3" w:rsidRDefault="008759AF" w:rsidP="00767FAA">
      <w:pPr>
        <w:pStyle w:val="Heading2"/>
        <w:rPr>
          <w:sz w:val="44"/>
          <w:szCs w:val="44"/>
        </w:rPr>
      </w:pPr>
      <w:r w:rsidRPr="00A938F3">
        <w:rPr>
          <w:sz w:val="44"/>
          <w:szCs w:val="44"/>
        </w:rPr>
        <w:t>E</w:t>
      </w:r>
      <w:r w:rsidR="00AB3DC0" w:rsidRPr="00A938F3">
        <w:rPr>
          <w:sz w:val="44"/>
          <w:szCs w:val="44"/>
        </w:rPr>
        <w:t>ngagement outcomes</w:t>
      </w:r>
    </w:p>
    <w:p w14:paraId="1B9F665B" w14:textId="77777777" w:rsidR="00C47D48" w:rsidRDefault="009C4C66" w:rsidP="009C4C66">
      <w:pPr>
        <w:spacing w:before="240"/>
        <w:rPr>
          <w:rFonts w:ascii="Arial" w:hAnsi="Arial" w:cs="Arial"/>
        </w:rPr>
      </w:pPr>
      <w:r w:rsidRPr="009C4C66">
        <w:rPr>
          <w:rFonts w:ascii="Arial" w:hAnsi="Arial" w:cs="Arial"/>
        </w:rPr>
        <w:t xml:space="preserve">There </w:t>
      </w:r>
      <w:r>
        <w:rPr>
          <w:rFonts w:ascii="Arial" w:hAnsi="Arial" w:cs="Arial"/>
        </w:rPr>
        <w:t xml:space="preserve">were six responses, one of whom did not support the draft Community Engagement Framework as they believed </w:t>
      </w:r>
      <w:r w:rsidR="008C10CE">
        <w:rPr>
          <w:rFonts w:ascii="Arial" w:hAnsi="Arial" w:cs="Arial"/>
        </w:rPr>
        <w:t>the planning section</w:t>
      </w:r>
      <w:r>
        <w:rPr>
          <w:rFonts w:ascii="Arial" w:hAnsi="Arial" w:cs="Arial"/>
        </w:rPr>
        <w:t xml:space="preserve"> should have been </w:t>
      </w:r>
      <w:r w:rsidR="004C34CE">
        <w:rPr>
          <w:rFonts w:ascii="Arial" w:hAnsi="Arial" w:cs="Arial"/>
        </w:rPr>
        <w:t xml:space="preserve">in </w:t>
      </w:r>
      <w:r>
        <w:rPr>
          <w:rFonts w:ascii="Arial" w:hAnsi="Arial" w:cs="Arial"/>
        </w:rPr>
        <w:t xml:space="preserve">a separate document. Two supported and three were unsure/neutral. </w:t>
      </w:r>
    </w:p>
    <w:p w14:paraId="4D2665A8" w14:textId="77777777" w:rsidR="009C4C66" w:rsidRDefault="009C4C66" w:rsidP="009C4C66">
      <w:pPr>
        <w:spacing w:before="240"/>
        <w:rPr>
          <w:rFonts w:ascii="Arial" w:hAnsi="Arial" w:cs="Arial"/>
        </w:rPr>
      </w:pPr>
      <w:r>
        <w:rPr>
          <w:rFonts w:ascii="Arial" w:hAnsi="Arial" w:cs="Arial"/>
        </w:rPr>
        <w:t xml:space="preserve">All respondents reported that it was ‘very’ or ‘moderately’ easy to </w:t>
      </w:r>
      <w:r w:rsidRPr="009C4C66">
        <w:rPr>
          <w:rFonts w:ascii="Arial" w:hAnsi="Arial" w:cs="Arial"/>
        </w:rPr>
        <w:t>understand how Council makes decisions about planning matters or development applications</w:t>
      </w:r>
      <w:r>
        <w:rPr>
          <w:rFonts w:ascii="Arial" w:hAnsi="Arial" w:cs="Arial"/>
        </w:rPr>
        <w:t xml:space="preserve">. </w:t>
      </w:r>
    </w:p>
    <w:p w14:paraId="5516CB80" w14:textId="77777777" w:rsidR="009C4C66" w:rsidRDefault="009C4C66" w:rsidP="009C4C66">
      <w:pPr>
        <w:spacing w:before="240"/>
        <w:rPr>
          <w:rFonts w:ascii="Arial" w:hAnsi="Arial" w:cs="Arial"/>
        </w:rPr>
      </w:pPr>
      <w:r>
        <w:rPr>
          <w:rFonts w:ascii="Arial" w:hAnsi="Arial" w:cs="Arial"/>
        </w:rPr>
        <w:t xml:space="preserve">Four respondents had </w:t>
      </w:r>
      <w:r w:rsidRPr="009C4C66">
        <w:rPr>
          <w:rFonts w:ascii="Arial" w:hAnsi="Arial" w:cs="Arial"/>
        </w:rPr>
        <w:t xml:space="preserve">made a submission on a planning matter or development application in </w:t>
      </w:r>
      <w:r>
        <w:rPr>
          <w:rFonts w:ascii="Arial" w:hAnsi="Arial" w:cs="Arial"/>
        </w:rPr>
        <w:t>thei</w:t>
      </w:r>
      <w:r w:rsidRPr="009C4C66">
        <w:rPr>
          <w:rFonts w:ascii="Arial" w:hAnsi="Arial" w:cs="Arial"/>
        </w:rPr>
        <w:t>r local area</w:t>
      </w:r>
      <w:r>
        <w:rPr>
          <w:rFonts w:ascii="Arial" w:hAnsi="Arial" w:cs="Arial"/>
        </w:rPr>
        <w:t xml:space="preserve"> while two had not. </w:t>
      </w:r>
    </w:p>
    <w:p w14:paraId="6689D5CC" w14:textId="77777777" w:rsidR="009C4C66" w:rsidRDefault="00BB2A03" w:rsidP="009C4C66">
      <w:pPr>
        <w:spacing w:before="240"/>
        <w:rPr>
          <w:rFonts w:ascii="Arial" w:hAnsi="Arial" w:cs="Arial"/>
        </w:rPr>
      </w:pPr>
      <w:r>
        <w:rPr>
          <w:rFonts w:ascii="Arial" w:hAnsi="Arial" w:cs="Arial"/>
        </w:rPr>
        <w:t xml:space="preserve">Four people who responded to the question found it ‘very’ or ‘moderately’ easy to find information on a planning matter or </w:t>
      </w:r>
      <w:r w:rsidRPr="00BB2A03">
        <w:rPr>
          <w:rFonts w:ascii="Arial" w:hAnsi="Arial" w:cs="Arial"/>
        </w:rPr>
        <w:t xml:space="preserve">development application in </w:t>
      </w:r>
      <w:r>
        <w:rPr>
          <w:rFonts w:ascii="Arial" w:hAnsi="Arial" w:cs="Arial"/>
        </w:rPr>
        <w:t>thei</w:t>
      </w:r>
      <w:r w:rsidRPr="00BB2A03">
        <w:rPr>
          <w:rFonts w:ascii="Arial" w:hAnsi="Arial" w:cs="Arial"/>
        </w:rPr>
        <w:t>r local area</w:t>
      </w:r>
      <w:r>
        <w:rPr>
          <w:rFonts w:ascii="Arial" w:hAnsi="Arial" w:cs="Arial"/>
        </w:rPr>
        <w:t xml:space="preserve"> and to </w:t>
      </w:r>
      <w:r w:rsidRPr="00BB2A03">
        <w:rPr>
          <w:rFonts w:ascii="Arial" w:hAnsi="Arial" w:cs="Arial"/>
        </w:rPr>
        <w:t>make a submission on a planning matter or development application</w:t>
      </w:r>
      <w:r>
        <w:rPr>
          <w:rFonts w:ascii="Arial" w:hAnsi="Arial" w:cs="Arial"/>
        </w:rPr>
        <w:t xml:space="preserve">. All four reported they were informed of the decision. </w:t>
      </w:r>
    </w:p>
    <w:p w14:paraId="50DBED51" w14:textId="77777777" w:rsidR="008C10CE" w:rsidRPr="008C10CE" w:rsidRDefault="00BB2A03" w:rsidP="00BB2A03">
      <w:pPr>
        <w:spacing w:before="240"/>
        <w:rPr>
          <w:rFonts w:ascii="Arial" w:hAnsi="Arial" w:cs="Arial"/>
          <w:b/>
        </w:rPr>
      </w:pPr>
      <w:r w:rsidRPr="008C10CE">
        <w:rPr>
          <w:rFonts w:ascii="Arial" w:hAnsi="Arial" w:cs="Arial"/>
          <w:b/>
        </w:rPr>
        <w:t xml:space="preserve">Comments: </w:t>
      </w:r>
    </w:p>
    <w:tbl>
      <w:tblPr>
        <w:tblStyle w:val="TableGrid"/>
        <w:tblW w:w="0" w:type="auto"/>
        <w:tblLook w:val="04A0" w:firstRow="1" w:lastRow="0" w:firstColumn="1" w:lastColumn="0" w:noHBand="0" w:noVBand="1"/>
      </w:tblPr>
      <w:tblGrid>
        <w:gridCol w:w="9016"/>
      </w:tblGrid>
      <w:tr w:rsidR="00BB2A03" w14:paraId="57D78F6F" w14:textId="77777777" w:rsidTr="00BB2A03">
        <w:tc>
          <w:tcPr>
            <w:tcW w:w="9016" w:type="dxa"/>
          </w:tcPr>
          <w:p w14:paraId="202C2015" w14:textId="77777777" w:rsidR="00BB2A03" w:rsidRPr="008C10CE" w:rsidRDefault="00BB2A03" w:rsidP="00BB2A03">
            <w:pPr>
              <w:spacing w:before="240"/>
              <w:rPr>
                <w:rFonts w:ascii="Arial" w:hAnsi="Arial" w:cs="Arial"/>
                <w:sz w:val="20"/>
                <w:szCs w:val="20"/>
              </w:rPr>
            </w:pPr>
            <w:r w:rsidRPr="008C10CE">
              <w:rPr>
                <w:rFonts w:ascii="Arial" w:hAnsi="Arial" w:cs="Arial"/>
                <w:sz w:val="20"/>
                <w:szCs w:val="20"/>
              </w:rPr>
              <w:t xml:space="preserve">It's all </w:t>
            </w:r>
            <w:proofErr w:type="gramStart"/>
            <w:r w:rsidRPr="008C10CE">
              <w:rPr>
                <w:rFonts w:ascii="Arial" w:hAnsi="Arial" w:cs="Arial"/>
                <w:sz w:val="20"/>
                <w:szCs w:val="20"/>
              </w:rPr>
              <w:t>pretty common</w:t>
            </w:r>
            <w:proofErr w:type="gramEnd"/>
            <w:r w:rsidRPr="008C10CE">
              <w:rPr>
                <w:rFonts w:ascii="Arial" w:hAnsi="Arial" w:cs="Arial"/>
                <w:sz w:val="20"/>
                <w:szCs w:val="20"/>
              </w:rPr>
              <w:t xml:space="preserve"> sense--and doesn't appear to be significantly different to the policy it replaces. All good in theory, but not necessarily put </w:t>
            </w:r>
            <w:proofErr w:type="spellStart"/>
            <w:r w:rsidRPr="008C10CE">
              <w:rPr>
                <w:rFonts w:ascii="Arial" w:hAnsi="Arial" w:cs="Arial"/>
                <w:sz w:val="20"/>
                <w:szCs w:val="20"/>
              </w:rPr>
              <w:t>ino</w:t>
            </w:r>
            <w:proofErr w:type="spellEnd"/>
            <w:r w:rsidRPr="008C10CE">
              <w:rPr>
                <w:rFonts w:ascii="Arial" w:hAnsi="Arial" w:cs="Arial"/>
                <w:sz w:val="20"/>
                <w:szCs w:val="20"/>
              </w:rPr>
              <w:t xml:space="preserve"> practise. As part of the Community Engagement process the one that existed in </w:t>
            </w:r>
            <w:proofErr w:type="spellStart"/>
            <w:r w:rsidRPr="008C10CE">
              <w:rPr>
                <w:rFonts w:ascii="Arial" w:hAnsi="Arial" w:cs="Arial"/>
                <w:sz w:val="20"/>
                <w:szCs w:val="20"/>
              </w:rPr>
              <w:t>Leich</w:t>
            </w:r>
            <w:proofErr w:type="spellEnd"/>
            <w:r w:rsidRPr="008C10CE">
              <w:rPr>
                <w:rFonts w:ascii="Arial" w:hAnsi="Arial" w:cs="Arial"/>
                <w:sz w:val="20"/>
                <w:szCs w:val="20"/>
              </w:rPr>
              <w:t xml:space="preserve">. LGA prior to amalgamation was </w:t>
            </w:r>
            <w:proofErr w:type="spellStart"/>
            <w:r w:rsidRPr="008C10CE">
              <w:rPr>
                <w:rFonts w:ascii="Arial" w:hAnsi="Arial" w:cs="Arial"/>
                <w:sz w:val="20"/>
                <w:szCs w:val="20"/>
              </w:rPr>
              <w:t>extremelt</w:t>
            </w:r>
            <w:proofErr w:type="spellEnd"/>
            <w:r w:rsidRPr="008C10CE">
              <w:rPr>
                <w:rFonts w:ascii="Arial" w:hAnsi="Arial" w:cs="Arial"/>
                <w:sz w:val="20"/>
                <w:szCs w:val="20"/>
              </w:rPr>
              <w:t xml:space="preserve"> efficient and should be re-</w:t>
            </w:r>
            <w:proofErr w:type="spellStart"/>
            <w:r w:rsidRPr="008C10CE">
              <w:rPr>
                <w:rFonts w:ascii="Arial" w:hAnsi="Arial" w:cs="Arial"/>
                <w:sz w:val="20"/>
                <w:szCs w:val="20"/>
              </w:rPr>
              <w:t>inststaed</w:t>
            </w:r>
            <w:proofErr w:type="spellEnd"/>
            <w:r w:rsidRPr="008C10CE">
              <w:rPr>
                <w:rFonts w:ascii="Arial" w:hAnsi="Arial" w:cs="Arial"/>
                <w:sz w:val="20"/>
                <w:szCs w:val="20"/>
              </w:rPr>
              <w:t xml:space="preserve"> across the IWC LGA--precinct committees.</w:t>
            </w:r>
          </w:p>
        </w:tc>
      </w:tr>
      <w:tr w:rsidR="00BB2A03" w14:paraId="2287D57E" w14:textId="77777777" w:rsidTr="00BB2A03">
        <w:tc>
          <w:tcPr>
            <w:tcW w:w="9016" w:type="dxa"/>
          </w:tcPr>
          <w:p w14:paraId="03A66BF2" w14:textId="77777777" w:rsidR="00BB2A03" w:rsidRPr="008C10CE" w:rsidRDefault="00BB2A03" w:rsidP="00BB2A03">
            <w:pPr>
              <w:spacing w:before="240"/>
              <w:rPr>
                <w:rFonts w:ascii="Arial" w:hAnsi="Arial" w:cs="Arial"/>
                <w:sz w:val="20"/>
                <w:szCs w:val="20"/>
              </w:rPr>
            </w:pPr>
            <w:r w:rsidRPr="008C10CE">
              <w:rPr>
                <w:rFonts w:ascii="Arial" w:hAnsi="Arial" w:cs="Arial"/>
                <w:sz w:val="20"/>
                <w:szCs w:val="20"/>
              </w:rPr>
              <w:t>Framework is comprehensive and provides many avenues for engagement</w:t>
            </w:r>
          </w:p>
        </w:tc>
      </w:tr>
      <w:tr w:rsidR="00BB2A03" w14:paraId="7912BEB3" w14:textId="77777777" w:rsidTr="00BB2A03">
        <w:tc>
          <w:tcPr>
            <w:tcW w:w="9016" w:type="dxa"/>
          </w:tcPr>
          <w:p w14:paraId="50160D8D" w14:textId="77777777" w:rsidR="00BB2A03" w:rsidRPr="008C10CE" w:rsidRDefault="00BB2A03" w:rsidP="00BB2A03">
            <w:pPr>
              <w:spacing w:before="240"/>
              <w:rPr>
                <w:rFonts w:ascii="Arial" w:hAnsi="Arial" w:cs="Arial"/>
                <w:sz w:val="20"/>
                <w:szCs w:val="20"/>
              </w:rPr>
            </w:pPr>
            <w:r w:rsidRPr="008C10CE">
              <w:rPr>
                <w:rFonts w:ascii="Arial" w:hAnsi="Arial" w:cs="Arial"/>
                <w:sz w:val="20"/>
                <w:szCs w:val="20"/>
              </w:rPr>
              <w:t>Not sure how it has changed from the previous procedures.</w:t>
            </w:r>
          </w:p>
        </w:tc>
      </w:tr>
      <w:tr w:rsidR="00BB2A03" w14:paraId="077279EA" w14:textId="77777777" w:rsidTr="00BB2A03">
        <w:tc>
          <w:tcPr>
            <w:tcW w:w="9016" w:type="dxa"/>
          </w:tcPr>
          <w:p w14:paraId="5F2AC91E" w14:textId="77777777" w:rsidR="00BB2A03" w:rsidRPr="008C10CE" w:rsidRDefault="00BB2A03" w:rsidP="00BB2A03">
            <w:pPr>
              <w:spacing w:before="240"/>
              <w:rPr>
                <w:rFonts w:ascii="Arial" w:hAnsi="Arial" w:cs="Arial"/>
                <w:sz w:val="20"/>
                <w:szCs w:val="20"/>
              </w:rPr>
            </w:pPr>
            <w:r w:rsidRPr="008C10CE">
              <w:rPr>
                <w:rFonts w:ascii="Arial" w:hAnsi="Arial" w:cs="Arial"/>
                <w:sz w:val="20"/>
                <w:szCs w:val="20"/>
              </w:rPr>
              <w:t>The Revised Community Engagement Framework appears only to be revised in that an additional section has been added regarding planning and infrastructure. This could have been put in a separate document rather than in the broader community engagement framework.</w:t>
            </w:r>
          </w:p>
        </w:tc>
      </w:tr>
      <w:tr w:rsidR="00BB2A03" w14:paraId="36433629" w14:textId="77777777" w:rsidTr="00BB2A03">
        <w:tc>
          <w:tcPr>
            <w:tcW w:w="9016" w:type="dxa"/>
          </w:tcPr>
          <w:p w14:paraId="4DBBBCB4" w14:textId="77777777" w:rsidR="00BB2A03" w:rsidRPr="008C10CE" w:rsidRDefault="00BB2A03" w:rsidP="00BB2A03">
            <w:pPr>
              <w:spacing w:before="240"/>
              <w:rPr>
                <w:rFonts w:ascii="Arial" w:hAnsi="Arial" w:cs="Arial"/>
                <w:sz w:val="20"/>
                <w:szCs w:val="20"/>
              </w:rPr>
            </w:pPr>
            <w:r w:rsidRPr="008C10CE">
              <w:rPr>
                <w:rFonts w:ascii="Arial" w:hAnsi="Arial" w:cs="Arial"/>
                <w:sz w:val="20"/>
                <w:szCs w:val="20"/>
              </w:rPr>
              <w:t>I'm not sure how it has changed. It seems quite good.</w:t>
            </w:r>
          </w:p>
        </w:tc>
      </w:tr>
    </w:tbl>
    <w:p w14:paraId="4B818488" w14:textId="77777777" w:rsidR="00BB2A03" w:rsidRPr="008C10CE" w:rsidRDefault="008C10CE" w:rsidP="00BB2A03">
      <w:pPr>
        <w:spacing w:before="240"/>
        <w:rPr>
          <w:rFonts w:ascii="Arial" w:hAnsi="Arial" w:cs="Arial"/>
          <w:b/>
        </w:rPr>
      </w:pPr>
      <w:r w:rsidRPr="008C10CE">
        <w:rPr>
          <w:rFonts w:ascii="Arial" w:hAnsi="Arial" w:cs="Arial"/>
          <w:b/>
        </w:rPr>
        <w:t>How can Council improve information or opportunities to get involved in planning and development matters?</w:t>
      </w:r>
    </w:p>
    <w:tbl>
      <w:tblPr>
        <w:tblStyle w:val="TableGrid"/>
        <w:tblW w:w="0" w:type="auto"/>
        <w:tblInd w:w="-5" w:type="dxa"/>
        <w:tblLook w:val="04A0" w:firstRow="1" w:lastRow="0" w:firstColumn="1" w:lastColumn="0" w:noHBand="0" w:noVBand="1"/>
      </w:tblPr>
      <w:tblGrid>
        <w:gridCol w:w="9021"/>
      </w:tblGrid>
      <w:tr w:rsidR="008C10CE" w14:paraId="48BBCDCC" w14:textId="77777777" w:rsidTr="008C10CE">
        <w:tc>
          <w:tcPr>
            <w:tcW w:w="9021" w:type="dxa"/>
          </w:tcPr>
          <w:p w14:paraId="42C633BE" w14:textId="77777777" w:rsidR="008C10CE" w:rsidRPr="008C10CE" w:rsidRDefault="008C10CE" w:rsidP="008C10CE">
            <w:pPr>
              <w:spacing w:before="240"/>
              <w:rPr>
                <w:rFonts w:ascii="Arial" w:hAnsi="Arial" w:cs="Arial"/>
                <w:sz w:val="20"/>
                <w:szCs w:val="20"/>
              </w:rPr>
            </w:pPr>
            <w:r w:rsidRPr="008C10CE">
              <w:rPr>
                <w:rFonts w:ascii="Arial" w:hAnsi="Arial" w:cs="Arial"/>
                <w:sz w:val="20"/>
                <w:szCs w:val="20"/>
              </w:rPr>
              <w:t>Council's decisions on DA's etc. is, at times, inconsistent with prev. "like" DA's--depends on which staff in planning or compliance is dealing with the matter</w:t>
            </w:r>
            <w:r w:rsidRPr="008C10CE">
              <w:rPr>
                <w:rFonts w:ascii="Arial" w:hAnsi="Arial" w:cs="Arial"/>
                <w:sz w:val="20"/>
                <w:szCs w:val="20"/>
              </w:rPr>
              <w:t xml:space="preserve">. </w:t>
            </w:r>
            <w:r w:rsidRPr="008C10CE">
              <w:rPr>
                <w:rFonts w:ascii="Arial" w:hAnsi="Arial" w:cs="Arial"/>
                <w:sz w:val="20"/>
                <w:szCs w:val="20"/>
              </w:rPr>
              <w:t>Some decisions are made without staff even attending the site.</w:t>
            </w:r>
          </w:p>
        </w:tc>
      </w:tr>
      <w:tr w:rsidR="008C10CE" w14:paraId="23C52C00" w14:textId="77777777" w:rsidTr="008C10CE">
        <w:tc>
          <w:tcPr>
            <w:tcW w:w="9021" w:type="dxa"/>
          </w:tcPr>
          <w:p w14:paraId="67D2F9C7" w14:textId="77777777" w:rsidR="008C10CE" w:rsidRPr="008C10CE" w:rsidRDefault="008C10CE" w:rsidP="00CF100C">
            <w:pPr>
              <w:pStyle w:val="ListParagraph"/>
              <w:spacing w:before="240"/>
              <w:ind w:left="0"/>
              <w:rPr>
                <w:rFonts w:ascii="Arial" w:hAnsi="Arial" w:cs="Arial"/>
                <w:sz w:val="20"/>
                <w:szCs w:val="20"/>
              </w:rPr>
            </w:pPr>
            <w:r w:rsidRPr="008C10CE">
              <w:rPr>
                <w:rFonts w:ascii="Arial" w:hAnsi="Arial" w:cs="Arial"/>
                <w:sz w:val="20"/>
                <w:szCs w:val="20"/>
              </w:rPr>
              <w:t>The radii for notifications of nearby residents who could be affected by nearby developments is 50 metres for a residential flat building and 75 metres for a commercial development over $30 million. These radii are too small: in winter a four or five story building will cast shadows much longer than this; neighbourhood impacts are even wider spread. The radii should be increased to 100 metres and 150 metres respectively.</w:t>
            </w:r>
          </w:p>
        </w:tc>
      </w:tr>
      <w:tr w:rsidR="008C10CE" w14:paraId="4D51A4B7" w14:textId="77777777" w:rsidTr="008C10CE">
        <w:tc>
          <w:tcPr>
            <w:tcW w:w="9021" w:type="dxa"/>
          </w:tcPr>
          <w:p w14:paraId="5E35B445" w14:textId="77777777" w:rsidR="008C10CE" w:rsidRPr="008C10CE" w:rsidRDefault="008C10CE" w:rsidP="00CF100C">
            <w:pPr>
              <w:pStyle w:val="ListParagraph"/>
              <w:spacing w:before="240"/>
              <w:ind w:left="0"/>
              <w:rPr>
                <w:rFonts w:ascii="Arial" w:hAnsi="Arial" w:cs="Arial"/>
                <w:sz w:val="20"/>
                <w:szCs w:val="20"/>
              </w:rPr>
            </w:pPr>
            <w:r w:rsidRPr="008C10CE">
              <w:rPr>
                <w:rFonts w:ascii="Arial" w:hAnsi="Arial" w:cs="Arial"/>
                <w:sz w:val="20"/>
                <w:szCs w:val="20"/>
              </w:rPr>
              <w:t xml:space="preserve">The process of looking up and making a submission to Council with regard to a </w:t>
            </w:r>
            <w:proofErr w:type="gramStart"/>
            <w:r w:rsidRPr="008C10CE">
              <w:rPr>
                <w:rFonts w:ascii="Arial" w:hAnsi="Arial" w:cs="Arial"/>
                <w:sz w:val="20"/>
                <w:szCs w:val="20"/>
              </w:rPr>
              <w:t>development applications</w:t>
            </w:r>
            <w:proofErr w:type="gramEnd"/>
            <w:r w:rsidRPr="008C10CE">
              <w:rPr>
                <w:rFonts w:ascii="Arial" w:hAnsi="Arial" w:cs="Arial"/>
                <w:sz w:val="20"/>
                <w:szCs w:val="20"/>
              </w:rPr>
              <w:t xml:space="preserve"> was relatively easy but the correspondence informing me of the decision felt like a form letter, only stating that my concerns were considered in making the decision.  Council staff should address each concern raised in any submission and state why they either agreed or disagreed with those concerns if they want to make the </w:t>
            </w:r>
            <w:proofErr w:type="gramStart"/>
            <w:r w:rsidRPr="008C10CE">
              <w:rPr>
                <w:rFonts w:ascii="Arial" w:hAnsi="Arial" w:cs="Arial"/>
                <w:sz w:val="20"/>
                <w:szCs w:val="20"/>
              </w:rPr>
              <w:t>decision making</w:t>
            </w:r>
            <w:proofErr w:type="gramEnd"/>
            <w:r w:rsidRPr="008C10CE">
              <w:rPr>
                <w:rFonts w:ascii="Arial" w:hAnsi="Arial" w:cs="Arial"/>
                <w:sz w:val="20"/>
                <w:szCs w:val="20"/>
              </w:rPr>
              <w:t xml:space="preserve"> process truly transparent.</w:t>
            </w:r>
          </w:p>
        </w:tc>
      </w:tr>
      <w:tr w:rsidR="008C10CE" w14:paraId="4AF305F6" w14:textId="77777777" w:rsidTr="008C10CE">
        <w:tc>
          <w:tcPr>
            <w:tcW w:w="9021" w:type="dxa"/>
          </w:tcPr>
          <w:p w14:paraId="5028DEAA" w14:textId="77777777" w:rsidR="008C10CE" w:rsidRPr="008C10CE" w:rsidRDefault="008C10CE" w:rsidP="00CF100C">
            <w:pPr>
              <w:pStyle w:val="ListParagraph"/>
              <w:spacing w:before="240"/>
              <w:ind w:left="0"/>
              <w:rPr>
                <w:rFonts w:ascii="Arial" w:hAnsi="Arial" w:cs="Arial"/>
                <w:sz w:val="20"/>
                <w:szCs w:val="20"/>
              </w:rPr>
            </w:pPr>
            <w:r w:rsidRPr="008C10CE">
              <w:rPr>
                <w:rFonts w:ascii="Arial" w:hAnsi="Arial" w:cs="Arial"/>
                <w:sz w:val="20"/>
                <w:szCs w:val="20"/>
              </w:rPr>
              <w:t xml:space="preserve">Were you to make use of an online voting platform that could help engage </w:t>
            </w:r>
            <w:proofErr w:type="spellStart"/>
            <w:r w:rsidRPr="008C10CE">
              <w:rPr>
                <w:rFonts w:ascii="Arial" w:hAnsi="Arial" w:cs="Arial"/>
                <w:sz w:val="20"/>
                <w:szCs w:val="20"/>
              </w:rPr>
              <w:t>lost</w:t>
            </w:r>
            <w:proofErr w:type="spellEnd"/>
            <w:r w:rsidRPr="008C10CE">
              <w:rPr>
                <w:rFonts w:ascii="Arial" w:hAnsi="Arial" w:cs="Arial"/>
                <w:sz w:val="20"/>
                <w:szCs w:val="20"/>
              </w:rPr>
              <w:t xml:space="preserve"> of people in a very simple and straightforward manner; I would appreciate an easy way to voice my support or opposition to some developments, and especially some planning </w:t>
            </w:r>
            <w:proofErr w:type="gramStart"/>
            <w:r w:rsidRPr="008C10CE">
              <w:rPr>
                <w:rFonts w:ascii="Arial" w:hAnsi="Arial" w:cs="Arial"/>
                <w:sz w:val="20"/>
                <w:szCs w:val="20"/>
              </w:rPr>
              <w:t>matters.</w:t>
            </w:r>
            <w:proofErr w:type="gramEnd"/>
          </w:p>
        </w:tc>
      </w:tr>
    </w:tbl>
    <w:p w14:paraId="68387EEA" w14:textId="77777777" w:rsidR="00BB2A03" w:rsidRPr="008C10CE" w:rsidRDefault="008C10CE" w:rsidP="008C10CE">
      <w:pPr>
        <w:spacing w:before="240"/>
        <w:rPr>
          <w:rFonts w:ascii="Arial" w:hAnsi="Arial" w:cs="Arial"/>
          <w:b/>
        </w:rPr>
      </w:pPr>
      <w:r w:rsidRPr="008C10CE">
        <w:rPr>
          <w:rFonts w:ascii="Arial" w:hAnsi="Arial" w:cs="Arial"/>
          <w:b/>
        </w:rPr>
        <w:t>Do you have any other comments on the Community Engagement Framework?</w:t>
      </w:r>
    </w:p>
    <w:tbl>
      <w:tblPr>
        <w:tblStyle w:val="TableGrid"/>
        <w:tblW w:w="0" w:type="auto"/>
        <w:tblLook w:val="04A0" w:firstRow="1" w:lastRow="0" w:firstColumn="1" w:lastColumn="0" w:noHBand="0" w:noVBand="1"/>
      </w:tblPr>
      <w:tblGrid>
        <w:gridCol w:w="9016"/>
      </w:tblGrid>
      <w:tr w:rsidR="008C10CE" w14:paraId="2536550C" w14:textId="77777777" w:rsidTr="008C10CE">
        <w:tc>
          <w:tcPr>
            <w:tcW w:w="9016" w:type="dxa"/>
          </w:tcPr>
          <w:p w14:paraId="5A69BAF6" w14:textId="77777777" w:rsidR="008C10CE" w:rsidRPr="008C10CE" w:rsidRDefault="008C10CE" w:rsidP="008C10CE">
            <w:pPr>
              <w:spacing w:before="240"/>
              <w:rPr>
                <w:rFonts w:ascii="Arial" w:hAnsi="Arial" w:cs="Arial"/>
                <w:sz w:val="20"/>
                <w:szCs w:val="20"/>
              </w:rPr>
            </w:pPr>
            <w:r w:rsidRPr="008C10CE">
              <w:rPr>
                <w:rFonts w:ascii="Arial" w:hAnsi="Arial" w:cs="Arial"/>
                <w:sz w:val="20"/>
                <w:szCs w:val="20"/>
              </w:rPr>
              <w:t xml:space="preserve">Council seems to consider each development application on its own.  For example, a medium or </w:t>
            </w:r>
            <w:proofErr w:type="gramStart"/>
            <w:r w:rsidRPr="008C10CE">
              <w:rPr>
                <w:rFonts w:ascii="Arial" w:hAnsi="Arial" w:cs="Arial"/>
                <w:sz w:val="20"/>
                <w:szCs w:val="20"/>
              </w:rPr>
              <w:t>high density</w:t>
            </w:r>
            <w:proofErr w:type="gramEnd"/>
            <w:r w:rsidRPr="008C10CE">
              <w:rPr>
                <w:rFonts w:ascii="Arial" w:hAnsi="Arial" w:cs="Arial"/>
                <w:sz w:val="20"/>
                <w:szCs w:val="20"/>
              </w:rPr>
              <w:t xml:space="preserve"> development on its own may be deemed not to have a significant effect in the immediate area of the development, but 10 or 20 or however many developments across the municipality have an impact on the overall level of traffic in the municipality.  These cumulative effects of development to not seem to be taken into consideration in the approval process.</w:t>
            </w:r>
          </w:p>
        </w:tc>
      </w:tr>
      <w:tr w:rsidR="008C10CE" w14:paraId="58808336" w14:textId="77777777" w:rsidTr="008C10CE">
        <w:tc>
          <w:tcPr>
            <w:tcW w:w="9016" w:type="dxa"/>
          </w:tcPr>
          <w:p w14:paraId="3069737E" w14:textId="77777777" w:rsidR="008C10CE" w:rsidRPr="008C10CE" w:rsidRDefault="008C10CE" w:rsidP="008C10CE">
            <w:pPr>
              <w:spacing w:before="240"/>
              <w:rPr>
                <w:rFonts w:ascii="Arial" w:hAnsi="Arial" w:cs="Arial"/>
                <w:sz w:val="20"/>
                <w:szCs w:val="20"/>
              </w:rPr>
            </w:pPr>
            <w:r w:rsidRPr="008C10CE">
              <w:rPr>
                <w:rFonts w:ascii="Arial" w:hAnsi="Arial" w:cs="Arial"/>
                <w:sz w:val="20"/>
                <w:szCs w:val="20"/>
              </w:rPr>
              <w:t>What evaluation has been done on the 'your say' site? This could have been part of the 'revised' document.</w:t>
            </w:r>
            <w:r w:rsidRPr="008C10CE">
              <w:rPr>
                <w:rFonts w:ascii="Arial" w:hAnsi="Arial" w:cs="Arial"/>
                <w:sz w:val="20"/>
                <w:szCs w:val="20"/>
              </w:rPr>
              <w:t xml:space="preserve"> </w:t>
            </w:r>
            <w:r w:rsidRPr="008C10CE">
              <w:rPr>
                <w:rFonts w:ascii="Arial" w:hAnsi="Arial" w:cs="Arial"/>
                <w:sz w:val="20"/>
                <w:szCs w:val="20"/>
              </w:rPr>
              <w:t>Why is feedback not a key part of the community engagement framework?</w:t>
            </w:r>
            <w:r w:rsidRPr="008C10CE">
              <w:rPr>
                <w:rFonts w:ascii="Arial" w:hAnsi="Arial" w:cs="Arial"/>
                <w:sz w:val="20"/>
                <w:szCs w:val="20"/>
              </w:rPr>
              <w:t xml:space="preserve"> </w:t>
            </w:r>
            <w:r w:rsidRPr="008C10CE">
              <w:rPr>
                <w:rFonts w:ascii="Arial" w:hAnsi="Arial" w:cs="Arial"/>
                <w:sz w:val="20"/>
                <w:szCs w:val="20"/>
              </w:rPr>
              <w:t>The IPA2 spectrum has been adapted in this document.</w:t>
            </w:r>
          </w:p>
        </w:tc>
      </w:tr>
    </w:tbl>
    <w:p w14:paraId="553691AC" w14:textId="77777777" w:rsidR="00C47D48" w:rsidRPr="00C47D48" w:rsidRDefault="00C47D48" w:rsidP="00C47D48">
      <w:pPr>
        <w:spacing w:before="240"/>
        <w:rPr>
          <w:rFonts w:ascii="Arial" w:hAnsi="Arial" w:cs="Arial"/>
        </w:rPr>
      </w:pPr>
    </w:p>
    <w:sectPr w:rsidR="00C47D48" w:rsidRPr="00C47D48" w:rsidSect="00B44BB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5DD21" w14:textId="77777777" w:rsidR="00810727" w:rsidRDefault="00810727" w:rsidP="00B44BB5">
      <w:pPr>
        <w:spacing w:after="0" w:line="240" w:lineRule="auto"/>
      </w:pPr>
      <w:r>
        <w:separator/>
      </w:r>
    </w:p>
  </w:endnote>
  <w:endnote w:type="continuationSeparator" w:id="0">
    <w:p w14:paraId="69AED67E" w14:textId="77777777" w:rsidR="00810727" w:rsidRDefault="00810727"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5AD1" w14:textId="77777777" w:rsidR="00767FAA" w:rsidRDefault="00767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338D8F8C"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C8B723" w14:textId="77777777" w:rsidR="00B44BB5" w:rsidRDefault="00B44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14:paraId="439E7049"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468766" w14:textId="77777777"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7DF4D" w14:textId="77777777" w:rsidR="00810727" w:rsidRDefault="00810727" w:rsidP="00B44BB5">
      <w:pPr>
        <w:spacing w:after="0" w:line="240" w:lineRule="auto"/>
      </w:pPr>
      <w:r>
        <w:separator/>
      </w:r>
    </w:p>
  </w:footnote>
  <w:footnote w:type="continuationSeparator" w:id="0">
    <w:p w14:paraId="341FB303" w14:textId="77777777" w:rsidR="00810727" w:rsidRDefault="00810727"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5245" w14:textId="77777777" w:rsidR="00767FAA" w:rsidRDefault="00767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6D4" w14:textId="77777777" w:rsidR="00767FAA" w:rsidRDefault="00767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1595" w14:textId="77777777" w:rsidR="00B44BB5" w:rsidRDefault="00B44BB5">
    <w:pPr>
      <w:pStyle w:val="Header"/>
    </w:pPr>
    <w:r>
      <w:rPr>
        <w:noProof/>
      </w:rPr>
      <w:drawing>
        <wp:inline distT="0" distB="0" distL="0" distR="0">
          <wp:extent cx="5731510" cy="963930"/>
          <wp:effectExtent l="0" t="0" r="2540" b="7620"/>
          <wp:docPr id="1" name="Picture 1" descr="Inner W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86C3F"/>
    <w:multiLevelType w:val="hybridMultilevel"/>
    <w:tmpl w:val="E112F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55871"/>
    <w:multiLevelType w:val="hybridMultilevel"/>
    <w:tmpl w:val="5EE26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A64D1E"/>
    <w:multiLevelType w:val="hybridMultilevel"/>
    <w:tmpl w:val="8646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1"/>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86F2E"/>
    <w:rsid w:val="00177095"/>
    <w:rsid w:val="001C6E5F"/>
    <w:rsid w:val="00253A10"/>
    <w:rsid w:val="00291B71"/>
    <w:rsid w:val="00327B37"/>
    <w:rsid w:val="00354EB9"/>
    <w:rsid w:val="004511C6"/>
    <w:rsid w:val="004908D2"/>
    <w:rsid w:val="004C34CE"/>
    <w:rsid w:val="00512216"/>
    <w:rsid w:val="00545DF2"/>
    <w:rsid w:val="00577B00"/>
    <w:rsid w:val="00582881"/>
    <w:rsid w:val="005A55A4"/>
    <w:rsid w:val="005A647C"/>
    <w:rsid w:val="00615D5D"/>
    <w:rsid w:val="006C6680"/>
    <w:rsid w:val="006F3EC2"/>
    <w:rsid w:val="00702539"/>
    <w:rsid w:val="00767FAA"/>
    <w:rsid w:val="00791997"/>
    <w:rsid w:val="007A7ACB"/>
    <w:rsid w:val="007B4584"/>
    <w:rsid w:val="00810727"/>
    <w:rsid w:val="008225C5"/>
    <w:rsid w:val="008377E4"/>
    <w:rsid w:val="00866BF7"/>
    <w:rsid w:val="008759AF"/>
    <w:rsid w:val="008C10CE"/>
    <w:rsid w:val="008C27F2"/>
    <w:rsid w:val="0090047C"/>
    <w:rsid w:val="009C4C66"/>
    <w:rsid w:val="00A05208"/>
    <w:rsid w:val="00A76561"/>
    <w:rsid w:val="00A83599"/>
    <w:rsid w:val="00A938F3"/>
    <w:rsid w:val="00AB3DC0"/>
    <w:rsid w:val="00AC1714"/>
    <w:rsid w:val="00AD0CDD"/>
    <w:rsid w:val="00B44BB5"/>
    <w:rsid w:val="00B82F19"/>
    <w:rsid w:val="00BB2A03"/>
    <w:rsid w:val="00C01000"/>
    <w:rsid w:val="00C47D48"/>
    <w:rsid w:val="00CF100C"/>
    <w:rsid w:val="00D36B48"/>
    <w:rsid w:val="00DF1E21"/>
    <w:rsid w:val="00E52B66"/>
    <w:rsid w:val="00E562CB"/>
    <w:rsid w:val="00E72D02"/>
    <w:rsid w:val="00E77205"/>
    <w:rsid w:val="00E96DF0"/>
    <w:rsid w:val="00EB737E"/>
    <w:rsid w:val="00ED1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F1B9"/>
  <w15:chartTrackingRefBased/>
  <w15:docId w15:val="{2A912F43-46BC-4119-B535-6E41D847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F1E21"/>
    <w:rPr>
      <w:i/>
      <w:iCs/>
    </w:rPr>
  </w:style>
  <w:style w:type="table" w:styleId="TableGrid">
    <w:name w:val="Table Grid"/>
    <w:basedOn w:val="TableNormal"/>
    <w:uiPriority w:val="39"/>
    <w:rsid w:val="00BB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719</Words>
  <Characters>4426</Characters>
  <Application>Microsoft Office Word</Application>
  <DocSecurity>0</DocSecurity>
  <Lines>138</Lines>
  <Paragraphs>66</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Prue Foreman</cp:lastModifiedBy>
  <cp:revision>5</cp:revision>
  <cp:lastPrinted>2019-07-19T00:34:00Z</cp:lastPrinted>
  <dcterms:created xsi:type="dcterms:W3CDTF">2019-11-13T05:40:00Z</dcterms:created>
  <dcterms:modified xsi:type="dcterms:W3CDTF">2019-11-14T07:10:00Z</dcterms:modified>
</cp:coreProperties>
</file>