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9" w:rsidRDefault="009A0969" w:rsidP="00EF7C3A">
      <w:pPr>
        <w:spacing w:after="120" w:line="240" w:lineRule="auto"/>
        <w:jc w:val="both"/>
        <w:rPr>
          <w:b/>
          <w:sz w:val="4"/>
          <w:szCs w:val="4"/>
        </w:rPr>
      </w:pPr>
    </w:p>
    <w:p w:rsidR="00EF7C3A" w:rsidRDefault="00727F1A" w:rsidP="00EF7C3A">
      <w:pPr>
        <w:spacing w:after="120" w:line="240" w:lineRule="auto"/>
        <w:jc w:val="both"/>
        <w:rPr>
          <w:b/>
          <w:sz w:val="18"/>
          <w:szCs w:val="18"/>
        </w:rPr>
      </w:pPr>
      <w:r w:rsidRPr="00727F1A">
        <w:rPr>
          <w:b/>
          <w:sz w:val="28"/>
          <w:szCs w:val="28"/>
        </w:rPr>
        <w:t xml:space="preserve">2017/2018 </w:t>
      </w:r>
      <w:r w:rsidR="00AB6B22" w:rsidRPr="00727F1A">
        <w:rPr>
          <w:b/>
          <w:sz w:val="28"/>
          <w:szCs w:val="28"/>
        </w:rPr>
        <w:t>Planning Proposal and DCP Amendment Fees</w:t>
      </w:r>
    </w:p>
    <w:p w:rsidR="00352998" w:rsidRPr="00352998" w:rsidRDefault="00352998" w:rsidP="00EF7C3A">
      <w:pPr>
        <w:spacing w:after="120" w:line="240" w:lineRule="auto"/>
        <w:jc w:val="both"/>
        <w:rPr>
          <w:b/>
          <w:sz w:val="18"/>
          <w:szCs w:val="18"/>
        </w:rPr>
      </w:pPr>
    </w:p>
    <w:tbl>
      <w:tblPr>
        <w:tblStyle w:val="TableGrid"/>
        <w:tblW w:w="0" w:type="auto"/>
        <w:tblLook w:val="04A0" w:firstRow="1" w:lastRow="0" w:firstColumn="1" w:lastColumn="0" w:noHBand="0" w:noVBand="1"/>
      </w:tblPr>
      <w:tblGrid>
        <w:gridCol w:w="5434"/>
        <w:gridCol w:w="4961"/>
      </w:tblGrid>
      <w:tr w:rsidR="00EF7C3A" w:rsidRPr="002B2E88" w:rsidTr="00352998">
        <w:trPr>
          <w:trHeight w:val="20"/>
        </w:trPr>
        <w:tc>
          <w:tcPr>
            <w:tcW w:w="10395" w:type="dxa"/>
            <w:gridSpan w:val="2"/>
          </w:tcPr>
          <w:p w:rsidR="00EF7C3A" w:rsidRDefault="00EF7C3A" w:rsidP="002D329F">
            <w:pPr>
              <w:rPr>
                <w:rFonts w:cs="Arial"/>
                <w:b/>
              </w:rPr>
            </w:pPr>
            <w:r w:rsidRPr="002B2E88">
              <w:rPr>
                <w:rFonts w:cs="Arial"/>
                <w:b/>
              </w:rPr>
              <w:t>PREPARATION OF AMENDMENT TO LOCAL ENVIRONMENTAL PLAN</w:t>
            </w:r>
          </w:p>
          <w:p w:rsidR="00352998" w:rsidRPr="002B2E88" w:rsidRDefault="00352998" w:rsidP="002D329F">
            <w:pPr>
              <w:rPr>
                <w:rFonts w:cs="Arial"/>
              </w:rPr>
            </w:pPr>
          </w:p>
        </w:tc>
      </w:tr>
      <w:tr w:rsidR="00EF7C3A" w:rsidRPr="002B2E88" w:rsidTr="00352998">
        <w:trPr>
          <w:trHeight w:val="20"/>
        </w:trPr>
        <w:tc>
          <w:tcPr>
            <w:tcW w:w="10395" w:type="dxa"/>
            <w:gridSpan w:val="2"/>
          </w:tcPr>
          <w:p w:rsidR="00EF7C3A" w:rsidRPr="002B2E88" w:rsidRDefault="00EF7C3A" w:rsidP="002D329F">
            <w:pPr>
              <w:rPr>
                <w:rFonts w:cs="Arial"/>
              </w:rPr>
            </w:pPr>
            <w:r w:rsidRPr="002B2E88">
              <w:rPr>
                <w:rFonts w:cs="Arial"/>
                <w:b/>
              </w:rPr>
              <w:t>Pre Planning Proposal Consultation (mandatory for all applications)</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Minor LEP Amendment</w:t>
            </w:r>
          </w:p>
        </w:tc>
        <w:tc>
          <w:tcPr>
            <w:tcW w:w="4961" w:type="dxa"/>
          </w:tcPr>
          <w:p w:rsidR="00EF7C3A" w:rsidRPr="002B2E88" w:rsidRDefault="00EF7C3A" w:rsidP="002D329F">
            <w:pPr>
              <w:rPr>
                <w:rFonts w:cs="Arial"/>
              </w:rPr>
            </w:pPr>
            <w:r w:rsidRPr="002B2E88">
              <w:rPr>
                <w:rFonts w:cs="Arial"/>
              </w:rPr>
              <w:t>$2,000</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Major LEP Amendment</w:t>
            </w:r>
          </w:p>
        </w:tc>
        <w:tc>
          <w:tcPr>
            <w:tcW w:w="4961" w:type="dxa"/>
          </w:tcPr>
          <w:p w:rsidR="00EF7C3A" w:rsidRPr="002B2E88" w:rsidRDefault="00EF7C3A" w:rsidP="002D329F">
            <w:pPr>
              <w:rPr>
                <w:rFonts w:cs="Arial"/>
              </w:rPr>
            </w:pPr>
            <w:r w:rsidRPr="002B2E88">
              <w:rPr>
                <w:rFonts w:cs="Arial"/>
              </w:rPr>
              <w:t>$4,000</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Complex LEP Amendment</w:t>
            </w:r>
          </w:p>
        </w:tc>
        <w:tc>
          <w:tcPr>
            <w:tcW w:w="4961" w:type="dxa"/>
          </w:tcPr>
          <w:p w:rsidR="00EF7C3A" w:rsidRPr="002B2E88" w:rsidRDefault="00EF7C3A" w:rsidP="002D329F">
            <w:pPr>
              <w:rPr>
                <w:rFonts w:cs="Arial"/>
              </w:rPr>
            </w:pPr>
            <w:r w:rsidRPr="002B2E88">
              <w:rPr>
                <w:rFonts w:cs="Arial"/>
              </w:rPr>
              <w:t>$</w:t>
            </w:r>
            <w:r>
              <w:rPr>
                <w:rFonts w:cs="Arial"/>
              </w:rPr>
              <w:t>6</w:t>
            </w:r>
            <w:r w:rsidRPr="002B2E88">
              <w:rPr>
                <w:rFonts w:cs="Arial"/>
              </w:rPr>
              <w:t>,000</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Additional meetings</w:t>
            </w:r>
          </w:p>
        </w:tc>
        <w:tc>
          <w:tcPr>
            <w:tcW w:w="4961" w:type="dxa"/>
          </w:tcPr>
          <w:p w:rsidR="00EF7C3A" w:rsidRPr="002B2E88" w:rsidRDefault="00EF7C3A" w:rsidP="002D329F">
            <w:pPr>
              <w:rPr>
                <w:rFonts w:cs="Arial"/>
              </w:rPr>
            </w:pPr>
            <w:r w:rsidRPr="002B2E88">
              <w:rPr>
                <w:rFonts w:cs="Arial"/>
              </w:rPr>
              <w:t>25% of original fee</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Planning Proposal</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Minor LEP Amendment</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Stage – 1 Preparation of a planning proposal and report to Council with recommendations in relation to a minor LEP amendment (e.g. adding or removing a heritage item, adding or removing a use that does not require complex assessment)</w:t>
            </w:r>
          </w:p>
        </w:tc>
        <w:tc>
          <w:tcPr>
            <w:tcW w:w="4961" w:type="dxa"/>
          </w:tcPr>
          <w:p w:rsidR="00EF7C3A" w:rsidRPr="002B2E88" w:rsidRDefault="00EF7C3A" w:rsidP="002D329F">
            <w:pPr>
              <w:rPr>
                <w:rFonts w:cs="Arial"/>
              </w:rPr>
            </w:pPr>
            <w:r w:rsidRPr="002B2E88">
              <w:rPr>
                <w:rFonts w:cs="Arial"/>
              </w:rPr>
              <w:t>$4000</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Stage – 2 Progress planning proposal subsequent to Gateway Determination</w:t>
            </w:r>
          </w:p>
        </w:tc>
        <w:tc>
          <w:tcPr>
            <w:tcW w:w="4961" w:type="dxa"/>
          </w:tcPr>
          <w:p w:rsidR="00EF7C3A" w:rsidRPr="002B2E88" w:rsidRDefault="00EF7C3A" w:rsidP="002D329F">
            <w:pPr>
              <w:rPr>
                <w:rFonts w:cs="Arial"/>
              </w:rPr>
            </w:pPr>
            <w:r w:rsidRPr="002B2E88">
              <w:rPr>
                <w:rFonts w:cs="Arial"/>
              </w:rPr>
              <w:t>$8,000</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Major LEP Amendment</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Stage – 1 Preparation of a planning proposal and report to Council with recommendations in relation to a major LEP amendment (e.g. FSR and height amendments)</w:t>
            </w:r>
          </w:p>
        </w:tc>
        <w:tc>
          <w:tcPr>
            <w:tcW w:w="4961" w:type="dxa"/>
          </w:tcPr>
          <w:p w:rsidR="00EF7C3A" w:rsidRPr="002B2E88" w:rsidRDefault="00EF7C3A" w:rsidP="002D329F">
            <w:pPr>
              <w:rPr>
                <w:rFonts w:cs="Arial"/>
              </w:rPr>
            </w:pPr>
            <w:r w:rsidRPr="002B2E88">
              <w:rPr>
                <w:rFonts w:cs="Arial"/>
              </w:rPr>
              <w:t>$20,000</w:t>
            </w:r>
          </w:p>
        </w:tc>
      </w:tr>
      <w:tr w:rsidR="00EF7C3A" w:rsidRPr="002B2E88" w:rsidTr="00352998">
        <w:trPr>
          <w:trHeight w:val="20"/>
        </w:trPr>
        <w:tc>
          <w:tcPr>
            <w:tcW w:w="5434" w:type="dxa"/>
          </w:tcPr>
          <w:p w:rsidR="00EF7C3A" w:rsidRPr="002B2E88" w:rsidRDefault="00EF7C3A" w:rsidP="002D329F">
            <w:pPr>
              <w:rPr>
                <w:rFonts w:cs="Arial"/>
              </w:rPr>
            </w:pPr>
            <w:r w:rsidRPr="002B2E88">
              <w:rPr>
                <w:rFonts w:cs="Arial"/>
              </w:rPr>
              <w:t>Stage – 2 Progress planning proposal subsequent to Gateway Determination</w:t>
            </w:r>
          </w:p>
        </w:tc>
        <w:tc>
          <w:tcPr>
            <w:tcW w:w="4961" w:type="dxa"/>
          </w:tcPr>
          <w:p w:rsidR="00EF7C3A" w:rsidRPr="002B2E88" w:rsidRDefault="00EF7C3A" w:rsidP="002D329F">
            <w:pPr>
              <w:rPr>
                <w:rFonts w:cs="Arial"/>
              </w:rPr>
            </w:pPr>
            <w:r w:rsidRPr="002B2E88">
              <w:rPr>
                <w:rFonts w:cs="Arial"/>
              </w:rPr>
              <w:t>$30,000</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Complex LEP Amendment</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Stage – 1 Preparation of a planning proposal and report to Council with recommendations in relation to a complex LEP amendment (as determined by the Council officers e.g. change of zoning or matters that involve significant</w:t>
            </w:r>
          </w:p>
          <w:p w:rsidR="00EF7C3A" w:rsidRPr="002B2E88" w:rsidRDefault="00EF7C3A" w:rsidP="002D329F">
            <w:pPr>
              <w:rPr>
                <w:rFonts w:cs="Arial"/>
              </w:rPr>
            </w:pPr>
            <w:r w:rsidRPr="002B2E88">
              <w:rPr>
                <w:rFonts w:cs="Arial"/>
              </w:rPr>
              <w:t>consideration of economic, environmental and transport issues)</w:t>
            </w:r>
          </w:p>
        </w:tc>
        <w:tc>
          <w:tcPr>
            <w:tcW w:w="4961" w:type="dxa"/>
          </w:tcPr>
          <w:p w:rsidR="00EF7C3A" w:rsidRPr="002B2E88" w:rsidRDefault="00EF7C3A" w:rsidP="002D329F">
            <w:pPr>
              <w:rPr>
                <w:rFonts w:cs="Arial"/>
              </w:rPr>
            </w:pPr>
            <w:r w:rsidRPr="002B2E88">
              <w:rPr>
                <w:rFonts w:cs="Arial"/>
              </w:rPr>
              <w:t>$40,000</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Stage – 2 Progress planning proposal subsequent to Gateway Determination</w:t>
            </w:r>
          </w:p>
        </w:tc>
        <w:tc>
          <w:tcPr>
            <w:tcW w:w="4961" w:type="dxa"/>
          </w:tcPr>
          <w:p w:rsidR="00EF7C3A" w:rsidRPr="002B2E88" w:rsidRDefault="00EF7C3A" w:rsidP="002D329F">
            <w:pPr>
              <w:rPr>
                <w:rFonts w:cs="Arial"/>
              </w:rPr>
            </w:pPr>
            <w:r w:rsidRPr="002B2E88">
              <w:rPr>
                <w:rFonts w:cs="Arial"/>
              </w:rPr>
              <w:t>$50,000</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Additional costs and expenses</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For all LEP/ DCP amendments (minor, major or complex) any additional costs and</w:t>
            </w:r>
          </w:p>
          <w:p w:rsidR="00EF7C3A" w:rsidRPr="002B2E88" w:rsidRDefault="00EF7C3A" w:rsidP="002D329F">
            <w:pPr>
              <w:autoSpaceDE w:val="0"/>
              <w:autoSpaceDN w:val="0"/>
              <w:adjustRightInd w:val="0"/>
              <w:rPr>
                <w:rFonts w:cs="Arial"/>
              </w:rPr>
            </w:pPr>
            <w:r w:rsidRPr="002B2E88">
              <w:rPr>
                <w:rFonts w:cs="Arial"/>
              </w:rPr>
              <w:t>expenses incurred by Council in undertaking studies, peer reviews and other</w:t>
            </w:r>
          </w:p>
          <w:p w:rsidR="00EF7C3A" w:rsidRPr="002B2E88" w:rsidRDefault="00EF7C3A" w:rsidP="002D329F">
            <w:pPr>
              <w:autoSpaceDE w:val="0"/>
              <w:autoSpaceDN w:val="0"/>
              <w:adjustRightInd w:val="0"/>
              <w:rPr>
                <w:rFonts w:cs="Arial"/>
              </w:rPr>
            </w:pPr>
            <w:r w:rsidRPr="002B2E88">
              <w:rPr>
                <w:rFonts w:cs="Arial"/>
              </w:rPr>
              <w:t>matters required in relation to the planning proposal are to be paid at cost</w:t>
            </w:r>
          </w:p>
        </w:tc>
        <w:tc>
          <w:tcPr>
            <w:tcW w:w="4961" w:type="dxa"/>
          </w:tcPr>
          <w:p w:rsidR="00EF7C3A" w:rsidRPr="002B2E88" w:rsidRDefault="00EF7C3A" w:rsidP="002D329F">
            <w:pPr>
              <w:rPr>
                <w:rFonts w:cs="Arial"/>
              </w:rPr>
            </w:pPr>
            <w:r w:rsidRPr="002B2E88">
              <w:rPr>
                <w:rFonts w:cs="Arial"/>
              </w:rPr>
              <w:t>At cost</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Amendments to Development Control Plan</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Request to amend the DCP</w:t>
            </w:r>
          </w:p>
        </w:tc>
        <w:tc>
          <w:tcPr>
            <w:tcW w:w="4961" w:type="dxa"/>
          </w:tcPr>
          <w:p w:rsidR="00EF7C3A" w:rsidRPr="002B2E88" w:rsidRDefault="00EF7C3A" w:rsidP="002D329F">
            <w:pPr>
              <w:rPr>
                <w:rFonts w:cs="Arial"/>
              </w:rPr>
            </w:pPr>
            <w:r w:rsidRPr="002B2E88">
              <w:rPr>
                <w:rFonts w:cs="Arial"/>
              </w:rPr>
              <w:t>$5,500</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Preparation of a new site specific DCP</w:t>
            </w:r>
          </w:p>
        </w:tc>
        <w:tc>
          <w:tcPr>
            <w:tcW w:w="4961" w:type="dxa"/>
          </w:tcPr>
          <w:p w:rsidR="00EF7C3A" w:rsidRPr="002B2E88" w:rsidRDefault="00EF7C3A" w:rsidP="002D329F">
            <w:pPr>
              <w:rPr>
                <w:rFonts w:cs="Arial"/>
              </w:rPr>
            </w:pPr>
            <w:r w:rsidRPr="002B2E88">
              <w:rPr>
                <w:rFonts w:cs="Arial"/>
              </w:rPr>
              <w:t>$15,000</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Advertisement and notification costs</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Advertising cost for amendments to Environmental Planning Instrument</w:t>
            </w:r>
          </w:p>
        </w:tc>
        <w:tc>
          <w:tcPr>
            <w:tcW w:w="4961" w:type="dxa"/>
          </w:tcPr>
          <w:p w:rsidR="00EF7C3A" w:rsidRPr="002B2E88" w:rsidRDefault="00EF7C3A" w:rsidP="002D329F">
            <w:pPr>
              <w:rPr>
                <w:rFonts w:cs="Arial"/>
              </w:rPr>
            </w:pPr>
            <w:r w:rsidRPr="002B2E88">
              <w:rPr>
                <w:rFonts w:cs="Arial"/>
              </w:rPr>
              <w:t>$2,500</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Notification costs regarding the amendments to Environmental Planning Instrument</w:t>
            </w:r>
          </w:p>
        </w:tc>
        <w:tc>
          <w:tcPr>
            <w:tcW w:w="4961" w:type="dxa"/>
          </w:tcPr>
          <w:p w:rsidR="00EF7C3A" w:rsidRPr="002B2E88" w:rsidRDefault="00EF7C3A" w:rsidP="002D329F">
            <w:pPr>
              <w:rPr>
                <w:rFonts w:cs="Arial"/>
              </w:rPr>
            </w:pPr>
            <w:r w:rsidRPr="002B2E88">
              <w:rPr>
                <w:rFonts w:cs="Arial"/>
              </w:rPr>
              <w:t>$1.50</w:t>
            </w:r>
          </w:p>
        </w:tc>
      </w:tr>
      <w:tr w:rsidR="00EF7C3A" w:rsidRPr="002B2E88" w:rsidTr="00352998">
        <w:trPr>
          <w:trHeight w:val="20"/>
        </w:trPr>
        <w:tc>
          <w:tcPr>
            <w:tcW w:w="10395" w:type="dxa"/>
            <w:gridSpan w:val="2"/>
          </w:tcPr>
          <w:p w:rsidR="00EF7C3A" w:rsidRPr="002B2E88" w:rsidRDefault="00EF7C3A" w:rsidP="002D329F">
            <w:pPr>
              <w:rPr>
                <w:rFonts w:cs="Arial"/>
                <w:b/>
              </w:rPr>
            </w:pPr>
            <w:r w:rsidRPr="002B2E88">
              <w:rPr>
                <w:rFonts w:cs="Arial"/>
                <w:b/>
              </w:rPr>
              <w:t>Public Hearing</w:t>
            </w:r>
          </w:p>
        </w:tc>
      </w:tr>
      <w:tr w:rsidR="00EF7C3A" w:rsidRPr="002B2E88" w:rsidTr="00352998">
        <w:trPr>
          <w:trHeight w:val="20"/>
        </w:trPr>
        <w:tc>
          <w:tcPr>
            <w:tcW w:w="5434" w:type="dxa"/>
          </w:tcPr>
          <w:p w:rsidR="00EF7C3A" w:rsidRPr="002B2E88" w:rsidRDefault="00EF7C3A" w:rsidP="002D329F">
            <w:pPr>
              <w:autoSpaceDE w:val="0"/>
              <w:autoSpaceDN w:val="0"/>
              <w:adjustRightInd w:val="0"/>
              <w:rPr>
                <w:rFonts w:cs="Arial"/>
              </w:rPr>
            </w:pPr>
            <w:r w:rsidRPr="002B2E88">
              <w:rPr>
                <w:rFonts w:cs="Arial"/>
              </w:rPr>
              <w:t>Public Hearing if required. Cost recovery to Council</w:t>
            </w:r>
            <w:r>
              <w:rPr>
                <w:rFonts w:cs="Arial"/>
              </w:rPr>
              <w:t>.</w:t>
            </w:r>
          </w:p>
        </w:tc>
        <w:tc>
          <w:tcPr>
            <w:tcW w:w="4961" w:type="dxa"/>
          </w:tcPr>
          <w:p w:rsidR="00EF7C3A" w:rsidRPr="002B2E88" w:rsidRDefault="00EF7C3A" w:rsidP="002D329F">
            <w:pPr>
              <w:rPr>
                <w:rFonts w:cs="Arial"/>
              </w:rPr>
            </w:pPr>
            <w:r w:rsidRPr="002B2E88">
              <w:rPr>
                <w:rFonts w:cs="Arial"/>
              </w:rPr>
              <w:t>At cost</w:t>
            </w:r>
          </w:p>
        </w:tc>
      </w:tr>
    </w:tbl>
    <w:p w:rsidR="009A0969" w:rsidRDefault="009A0969" w:rsidP="00727F1A">
      <w:pPr>
        <w:spacing w:after="120" w:line="240" w:lineRule="auto"/>
        <w:jc w:val="both"/>
        <w:rPr>
          <w:b/>
          <w:sz w:val="4"/>
          <w:szCs w:val="4"/>
        </w:rPr>
      </w:pP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8"/>
          <w:szCs w:val="8"/>
        </w:rPr>
      </w:pPr>
    </w:p>
    <w:p w:rsidR="00352998" w:rsidRP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Default="00727F1A" w:rsidP="009A0969">
      <w:pPr>
        <w:spacing w:after="0" w:line="240" w:lineRule="auto"/>
        <w:jc w:val="both"/>
        <w:rPr>
          <w:b/>
          <w:sz w:val="4"/>
          <w:szCs w:val="4"/>
        </w:rPr>
      </w:pPr>
      <w:r w:rsidRPr="00727F1A">
        <w:rPr>
          <w:b/>
          <w:sz w:val="28"/>
          <w:szCs w:val="28"/>
        </w:rPr>
        <w:t>Proposed 2018/19 Planning Proposal and DCP Amendment Fees</w:t>
      </w: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Default="00352998" w:rsidP="009A0969">
      <w:pPr>
        <w:spacing w:after="0" w:line="240" w:lineRule="auto"/>
        <w:jc w:val="both"/>
        <w:rPr>
          <w:b/>
          <w:sz w:val="4"/>
          <w:szCs w:val="4"/>
        </w:rPr>
      </w:pPr>
    </w:p>
    <w:p w:rsidR="00352998" w:rsidRPr="00352998" w:rsidRDefault="00352998" w:rsidP="009A0969">
      <w:pPr>
        <w:spacing w:after="0" w:line="240" w:lineRule="auto"/>
        <w:jc w:val="both"/>
        <w:rPr>
          <w:b/>
          <w:sz w:val="4"/>
          <w:szCs w:val="4"/>
        </w:rPr>
      </w:pPr>
    </w:p>
    <w:p w:rsidR="00727F1A" w:rsidRDefault="00727F1A" w:rsidP="009A0969">
      <w:pPr>
        <w:spacing w:after="0" w:line="240" w:lineRule="auto"/>
        <w:jc w:val="both"/>
        <w:rPr>
          <w:b/>
          <w:sz w:val="4"/>
          <w:szCs w:val="4"/>
        </w:rPr>
      </w:pPr>
      <w:r w:rsidRPr="00793E3B">
        <w:rPr>
          <w:b/>
          <w:sz w:val="18"/>
          <w:szCs w:val="18"/>
        </w:rPr>
        <w:t xml:space="preserve">Note – Amended Fees highlighted in yellow below. </w:t>
      </w:r>
    </w:p>
    <w:p w:rsidR="00D51E67" w:rsidRDefault="00D51E67" w:rsidP="009A0969">
      <w:pPr>
        <w:spacing w:after="0" w:line="240" w:lineRule="auto"/>
        <w:jc w:val="both"/>
        <w:rPr>
          <w:b/>
          <w:sz w:val="4"/>
          <w:szCs w:val="4"/>
        </w:rPr>
      </w:pPr>
    </w:p>
    <w:p w:rsidR="00D51E67" w:rsidRDefault="00D51E67" w:rsidP="009A0969">
      <w:pPr>
        <w:spacing w:after="0" w:line="240" w:lineRule="auto"/>
        <w:jc w:val="both"/>
        <w:rPr>
          <w:b/>
          <w:sz w:val="4"/>
          <w:szCs w:val="4"/>
        </w:rPr>
      </w:pPr>
    </w:p>
    <w:p w:rsidR="00D51E67" w:rsidRPr="00D51E67" w:rsidRDefault="00D51E67" w:rsidP="009A0969">
      <w:pPr>
        <w:spacing w:after="0" w:line="240" w:lineRule="auto"/>
        <w:jc w:val="both"/>
        <w:rPr>
          <w:b/>
          <w:sz w:val="4"/>
          <w:szCs w:val="4"/>
        </w:rPr>
      </w:pPr>
      <w:bookmarkStart w:id="0" w:name="_GoBack"/>
      <w:bookmarkEnd w:id="0"/>
    </w:p>
    <w:tbl>
      <w:tblPr>
        <w:tblStyle w:val="TableGrid"/>
        <w:tblW w:w="0" w:type="auto"/>
        <w:tblLook w:val="04A0" w:firstRow="1" w:lastRow="0" w:firstColumn="1" w:lastColumn="0" w:noHBand="0" w:noVBand="1"/>
      </w:tblPr>
      <w:tblGrid>
        <w:gridCol w:w="5459"/>
        <w:gridCol w:w="4984"/>
      </w:tblGrid>
      <w:tr w:rsidR="00727F1A" w:rsidRPr="002B2E88" w:rsidTr="00352998">
        <w:trPr>
          <w:trHeight w:val="562"/>
        </w:trPr>
        <w:tc>
          <w:tcPr>
            <w:tcW w:w="10443" w:type="dxa"/>
            <w:gridSpan w:val="2"/>
            <w:shd w:val="clear" w:color="auto" w:fill="FFFF99"/>
          </w:tcPr>
          <w:p w:rsidR="00727F1A" w:rsidRPr="002B2E88" w:rsidRDefault="00727F1A" w:rsidP="00F378DD">
            <w:pPr>
              <w:rPr>
                <w:rFonts w:cs="Arial"/>
              </w:rPr>
            </w:pPr>
            <w:r>
              <w:rPr>
                <w:rFonts w:cs="Arial"/>
                <w:b/>
              </w:rPr>
              <w:t xml:space="preserve">PREPARATION OF </w:t>
            </w:r>
            <w:r w:rsidRPr="002B2E88">
              <w:rPr>
                <w:rFonts w:cs="Arial"/>
                <w:b/>
              </w:rPr>
              <w:t>LOCAL ENVIRONMENTAL PLAN</w:t>
            </w:r>
            <w:r>
              <w:rPr>
                <w:rFonts w:cs="Arial"/>
                <w:b/>
              </w:rPr>
              <w:t xml:space="preserve"> AND DEVELOPMENT CONTROL PLAN AMENDMENTS</w:t>
            </w:r>
          </w:p>
        </w:tc>
      </w:tr>
      <w:tr w:rsidR="00727F1A" w:rsidRPr="002B2E88" w:rsidTr="00352998">
        <w:trPr>
          <w:trHeight w:val="289"/>
        </w:trPr>
        <w:tc>
          <w:tcPr>
            <w:tcW w:w="10443" w:type="dxa"/>
            <w:gridSpan w:val="2"/>
          </w:tcPr>
          <w:p w:rsidR="00727F1A" w:rsidRPr="002B2E88" w:rsidRDefault="00727F1A" w:rsidP="00F378DD">
            <w:pPr>
              <w:rPr>
                <w:rFonts w:cs="Arial"/>
              </w:rPr>
            </w:pPr>
            <w:r w:rsidRPr="002B2E88">
              <w:rPr>
                <w:rFonts w:cs="Arial"/>
                <w:b/>
              </w:rPr>
              <w:t>Pre Planning Proposal Consultation (mandatory for all applications)</w:t>
            </w:r>
          </w:p>
        </w:tc>
      </w:tr>
      <w:tr w:rsidR="00727F1A" w:rsidRPr="002B2E88" w:rsidTr="00352998">
        <w:trPr>
          <w:trHeight w:val="272"/>
        </w:trPr>
        <w:tc>
          <w:tcPr>
            <w:tcW w:w="5459" w:type="dxa"/>
          </w:tcPr>
          <w:p w:rsidR="00727F1A" w:rsidRPr="002B2E88" w:rsidRDefault="00727F1A" w:rsidP="00F378DD">
            <w:pPr>
              <w:rPr>
                <w:rFonts w:cs="Arial"/>
              </w:rPr>
            </w:pPr>
            <w:r w:rsidRPr="002B2E88">
              <w:rPr>
                <w:rFonts w:cs="Arial"/>
              </w:rPr>
              <w:t>Minor LEP Amendment</w:t>
            </w:r>
          </w:p>
        </w:tc>
        <w:tc>
          <w:tcPr>
            <w:tcW w:w="4984" w:type="dxa"/>
            <w:shd w:val="clear" w:color="auto" w:fill="FFFF99"/>
          </w:tcPr>
          <w:p w:rsidR="00727F1A" w:rsidRPr="002B2E88" w:rsidRDefault="00727F1A" w:rsidP="00F378DD">
            <w:pPr>
              <w:rPr>
                <w:rFonts w:cs="Arial"/>
              </w:rPr>
            </w:pPr>
            <w:r w:rsidRPr="002B2E88">
              <w:rPr>
                <w:rFonts w:cs="Arial"/>
              </w:rPr>
              <w:t>$2,</w:t>
            </w:r>
            <w:r>
              <w:rPr>
                <w:rFonts w:cs="Arial"/>
              </w:rPr>
              <w:t>5</w:t>
            </w:r>
            <w:r w:rsidRPr="002B2E88">
              <w:rPr>
                <w:rFonts w:cs="Arial"/>
              </w:rPr>
              <w:t>00</w:t>
            </w:r>
          </w:p>
        </w:tc>
      </w:tr>
      <w:tr w:rsidR="00727F1A" w:rsidRPr="002B2E88" w:rsidTr="00352998">
        <w:trPr>
          <w:trHeight w:val="272"/>
        </w:trPr>
        <w:tc>
          <w:tcPr>
            <w:tcW w:w="5459" w:type="dxa"/>
          </w:tcPr>
          <w:p w:rsidR="00727F1A" w:rsidRPr="002B2E88" w:rsidRDefault="00727F1A" w:rsidP="00F378DD">
            <w:pPr>
              <w:rPr>
                <w:rFonts w:cs="Arial"/>
              </w:rPr>
            </w:pPr>
            <w:r w:rsidRPr="002B2E88">
              <w:rPr>
                <w:rFonts w:cs="Arial"/>
              </w:rPr>
              <w:t>Major LEP Amendment</w:t>
            </w:r>
          </w:p>
        </w:tc>
        <w:tc>
          <w:tcPr>
            <w:tcW w:w="4984" w:type="dxa"/>
            <w:shd w:val="clear" w:color="auto" w:fill="FFFF99"/>
          </w:tcPr>
          <w:p w:rsidR="00727F1A" w:rsidRPr="002B2E88" w:rsidRDefault="00727F1A" w:rsidP="00F378DD">
            <w:pPr>
              <w:rPr>
                <w:rFonts w:cs="Arial"/>
              </w:rPr>
            </w:pPr>
            <w:r>
              <w:rPr>
                <w:rFonts w:cs="Arial"/>
              </w:rPr>
              <w:t>$5</w:t>
            </w:r>
            <w:r w:rsidRPr="002B2E88">
              <w:rPr>
                <w:rFonts w:cs="Arial"/>
              </w:rPr>
              <w:t>,000</w:t>
            </w:r>
          </w:p>
        </w:tc>
      </w:tr>
      <w:tr w:rsidR="00727F1A" w:rsidRPr="002B2E88" w:rsidTr="00352998">
        <w:trPr>
          <w:trHeight w:val="289"/>
        </w:trPr>
        <w:tc>
          <w:tcPr>
            <w:tcW w:w="5459" w:type="dxa"/>
            <w:tcBorders>
              <w:bottom w:val="single" w:sz="4" w:space="0" w:color="auto"/>
            </w:tcBorders>
          </w:tcPr>
          <w:p w:rsidR="00727F1A" w:rsidRPr="002B2E88" w:rsidRDefault="00727F1A" w:rsidP="00F378DD">
            <w:pPr>
              <w:rPr>
                <w:rFonts w:cs="Arial"/>
              </w:rPr>
            </w:pPr>
            <w:r w:rsidRPr="002B2E88">
              <w:rPr>
                <w:rFonts w:cs="Arial"/>
              </w:rPr>
              <w:t>Complex LEP Amendment</w:t>
            </w:r>
          </w:p>
        </w:tc>
        <w:tc>
          <w:tcPr>
            <w:tcW w:w="4984" w:type="dxa"/>
            <w:tcBorders>
              <w:bottom w:val="single" w:sz="4" w:space="0" w:color="auto"/>
            </w:tcBorders>
            <w:shd w:val="clear" w:color="auto" w:fill="FFFF99"/>
          </w:tcPr>
          <w:p w:rsidR="00727F1A" w:rsidRPr="002B2E88" w:rsidRDefault="00727F1A" w:rsidP="00F378DD">
            <w:pPr>
              <w:rPr>
                <w:rFonts w:cs="Arial"/>
              </w:rPr>
            </w:pPr>
            <w:r>
              <w:rPr>
                <w:rFonts w:cs="Arial"/>
              </w:rPr>
              <w:t>$7,</w:t>
            </w:r>
            <w:r w:rsidRPr="002B2E88">
              <w:rPr>
                <w:rFonts w:cs="Arial"/>
              </w:rPr>
              <w:t>000</w:t>
            </w:r>
          </w:p>
        </w:tc>
      </w:tr>
      <w:tr w:rsidR="00727F1A" w:rsidRPr="002B2E88" w:rsidTr="00352998">
        <w:trPr>
          <w:trHeight w:val="272"/>
        </w:trPr>
        <w:tc>
          <w:tcPr>
            <w:tcW w:w="5459" w:type="dxa"/>
            <w:shd w:val="clear" w:color="auto" w:fill="FFFF99"/>
          </w:tcPr>
          <w:p w:rsidR="00727F1A" w:rsidRPr="002B2E88" w:rsidRDefault="00727F1A" w:rsidP="00F378DD">
            <w:pPr>
              <w:rPr>
                <w:rFonts w:cs="Arial"/>
              </w:rPr>
            </w:pPr>
            <w:r>
              <w:rPr>
                <w:rFonts w:cs="Arial"/>
              </w:rPr>
              <w:t xml:space="preserve">Precinct </w:t>
            </w:r>
            <w:r w:rsidRPr="00727F1A">
              <w:rPr>
                <w:rFonts w:cs="Arial"/>
                <w:shd w:val="clear" w:color="auto" w:fill="FFFF99"/>
              </w:rPr>
              <w:t>LEP Amendment</w:t>
            </w:r>
          </w:p>
        </w:tc>
        <w:tc>
          <w:tcPr>
            <w:tcW w:w="4984" w:type="dxa"/>
            <w:shd w:val="clear" w:color="auto" w:fill="FFFF99"/>
          </w:tcPr>
          <w:p w:rsidR="00727F1A" w:rsidRPr="002B2E88" w:rsidRDefault="00727F1A" w:rsidP="00F378DD">
            <w:pPr>
              <w:rPr>
                <w:rFonts w:cs="Arial"/>
              </w:rPr>
            </w:pPr>
            <w:r>
              <w:rPr>
                <w:rFonts w:cs="Arial"/>
              </w:rPr>
              <w:t>$12,000</w:t>
            </w:r>
          </w:p>
        </w:tc>
      </w:tr>
      <w:tr w:rsidR="00727F1A" w:rsidRPr="002B2E88" w:rsidTr="00352998">
        <w:trPr>
          <w:trHeight w:val="289"/>
        </w:trPr>
        <w:tc>
          <w:tcPr>
            <w:tcW w:w="5459" w:type="dxa"/>
          </w:tcPr>
          <w:p w:rsidR="00727F1A" w:rsidRPr="002B2E88" w:rsidRDefault="00727F1A" w:rsidP="00F378DD">
            <w:pPr>
              <w:rPr>
                <w:rFonts w:cs="Arial"/>
              </w:rPr>
            </w:pPr>
            <w:r w:rsidRPr="002B2E88">
              <w:rPr>
                <w:rFonts w:cs="Arial"/>
              </w:rPr>
              <w:t>Additional meetings</w:t>
            </w:r>
          </w:p>
        </w:tc>
        <w:tc>
          <w:tcPr>
            <w:tcW w:w="4984" w:type="dxa"/>
          </w:tcPr>
          <w:p w:rsidR="00727F1A" w:rsidRPr="002B2E88" w:rsidRDefault="00727F1A" w:rsidP="00F378DD">
            <w:pPr>
              <w:rPr>
                <w:rFonts w:cs="Arial"/>
              </w:rPr>
            </w:pPr>
            <w:r w:rsidRPr="002B2E88">
              <w:rPr>
                <w:rFonts w:cs="Arial"/>
              </w:rPr>
              <w:t>25% of original fee</w:t>
            </w:r>
          </w:p>
        </w:tc>
      </w:tr>
      <w:tr w:rsidR="00727F1A" w:rsidRPr="002B2E88" w:rsidTr="00352998">
        <w:trPr>
          <w:trHeight w:val="272"/>
        </w:trPr>
        <w:tc>
          <w:tcPr>
            <w:tcW w:w="10443" w:type="dxa"/>
            <w:gridSpan w:val="2"/>
          </w:tcPr>
          <w:p w:rsidR="00727F1A" w:rsidRPr="002B2E88" w:rsidRDefault="00727F1A" w:rsidP="00F378DD">
            <w:pPr>
              <w:rPr>
                <w:rFonts w:cs="Arial"/>
                <w:b/>
              </w:rPr>
            </w:pPr>
            <w:r w:rsidRPr="002B2E88">
              <w:rPr>
                <w:rFonts w:cs="Arial"/>
                <w:b/>
              </w:rPr>
              <w:t>Planning Proposal</w:t>
            </w:r>
            <w:r>
              <w:rPr>
                <w:rFonts w:cs="Arial"/>
                <w:b/>
              </w:rPr>
              <w:t>s</w:t>
            </w:r>
          </w:p>
        </w:tc>
      </w:tr>
      <w:tr w:rsidR="00727F1A" w:rsidRPr="002B2E88" w:rsidTr="00352998">
        <w:trPr>
          <w:trHeight w:val="851"/>
        </w:trPr>
        <w:tc>
          <w:tcPr>
            <w:tcW w:w="5459" w:type="dxa"/>
          </w:tcPr>
          <w:p w:rsidR="00727F1A" w:rsidRPr="00726A73" w:rsidRDefault="00727F1A" w:rsidP="00F378DD">
            <w:pPr>
              <w:rPr>
                <w:rFonts w:cs="Arial"/>
              </w:rPr>
            </w:pPr>
            <w:r w:rsidRPr="00726A73">
              <w:rPr>
                <w:rFonts w:cs="Arial"/>
              </w:rPr>
              <w:t>Minor LEP Amendment</w:t>
            </w:r>
            <w:r>
              <w:rPr>
                <w:rFonts w:cs="Arial"/>
              </w:rPr>
              <w:t xml:space="preserve"> </w:t>
            </w:r>
            <w:r w:rsidRPr="002B2E88">
              <w:rPr>
                <w:rFonts w:cs="Arial"/>
              </w:rPr>
              <w:t>e.g. adding or removing a heritage item, adding or removing a use that does not require complex assessment</w:t>
            </w:r>
          </w:p>
        </w:tc>
        <w:tc>
          <w:tcPr>
            <w:tcW w:w="4984" w:type="dxa"/>
            <w:shd w:val="clear" w:color="auto" w:fill="FFFF99"/>
          </w:tcPr>
          <w:p w:rsidR="00727F1A" w:rsidRPr="002B2E88" w:rsidRDefault="00727F1A" w:rsidP="00F378DD">
            <w:pPr>
              <w:rPr>
                <w:rFonts w:cs="Arial"/>
              </w:rPr>
            </w:pPr>
            <w:r w:rsidRPr="002B2E88">
              <w:rPr>
                <w:rFonts w:cs="Arial"/>
              </w:rPr>
              <w:t>$</w:t>
            </w:r>
            <w:r>
              <w:rPr>
                <w:rFonts w:cs="Arial"/>
              </w:rPr>
              <w:t>1</w:t>
            </w:r>
            <w:r w:rsidRPr="002B2E88">
              <w:rPr>
                <w:rFonts w:cs="Arial"/>
              </w:rPr>
              <w:t>8,000</w:t>
            </w:r>
          </w:p>
        </w:tc>
      </w:tr>
      <w:tr w:rsidR="00727F1A" w:rsidRPr="002B2E88" w:rsidTr="00352998">
        <w:trPr>
          <w:trHeight w:val="562"/>
        </w:trPr>
        <w:tc>
          <w:tcPr>
            <w:tcW w:w="5459" w:type="dxa"/>
          </w:tcPr>
          <w:p w:rsidR="00727F1A" w:rsidRPr="002B2E88" w:rsidRDefault="00727F1A" w:rsidP="00F378DD">
            <w:pPr>
              <w:autoSpaceDE w:val="0"/>
              <w:autoSpaceDN w:val="0"/>
              <w:adjustRightInd w:val="0"/>
              <w:rPr>
                <w:rFonts w:cs="Arial"/>
              </w:rPr>
            </w:pPr>
            <w:r w:rsidRPr="00726A73">
              <w:rPr>
                <w:rFonts w:cs="Arial"/>
              </w:rPr>
              <w:t>Major LEP Amendment</w:t>
            </w:r>
            <w:r>
              <w:rPr>
                <w:rFonts w:cs="Arial"/>
              </w:rPr>
              <w:t xml:space="preserve"> </w:t>
            </w:r>
            <w:r w:rsidRPr="002B2E88">
              <w:rPr>
                <w:rFonts w:cs="Arial"/>
              </w:rPr>
              <w:t>e.g</w:t>
            </w:r>
            <w:r>
              <w:rPr>
                <w:rFonts w:cs="Arial"/>
              </w:rPr>
              <w:t>. FSR and height amendments</w:t>
            </w:r>
          </w:p>
        </w:tc>
        <w:tc>
          <w:tcPr>
            <w:tcW w:w="4984" w:type="dxa"/>
            <w:shd w:val="clear" w:color="auto" w:fill="FFFF99"/>
          </w:tcPr>
          <w:p w:rsidR="00727F1A" w:rsidRPr="002B2E88" w:rsidRDefault="00727F1A" w:rsidP="00F378DD">
            <w:pPr>
              <w:rPr>
                <w:rFonts w:cs="Arial"/>
              </w:rPr>
            </w:pPr>
            <w:r>
              <w:rPr>
                <w:rFonts w:cs="Arial"/>
              </w:rPr>
              <w:t>$6</w:t>
            </w:r>
            <w:r w:rsidRPr="002B2E88">
              <w:rPr>
                <w:rFonts w:cs="Arial"/>
              </w:rPr>
              <w:t>0,000</w:t>
            </w:r>
          </w:p>
        </w:tc>
      </w:tr>
      <w:tr w:rsidR="00727F1A" w:rsidRPr="002B2E88" w:rsidTr="00352998">
        <w:trPr>
          <w:trHeight w:val="851"/>
        </w:trPr>
        <w:tc>
          <w:tcPr>
            <w:tcW w:w="5459" w:type="dxa"/>
          </w:tcPr>
          <w:p w:rsidR="00727F1A" w:rsidRPr="002B2E88" w:rsidRDefault="00727F1A" w:rsidP="00F378DD">
            <w:pPr>
              <w:autoSpaceDE w:val="0"/>
              <w:autoSpaceDN w:val="0"/>
              <w:adjustRightInd w:val="0"/>
              <w:rPr>
                <w:rFonts w:cs="Arial"/>
              </w:rPr>
            </w:pPr>
            <w:r w:rsidRPr="00726A73">
              <w:rPr>
                <w:rFonts w:cs="Arial"/>
              </w:rPr>
              <w:t>Complex LEP Amendment</w:t>
            </w:r>
            <w:r>
              <w:rPr>
                <w:rFonts w:cs="Arial"/>
              </w:rPr>
              <w:t xml:space="preserve"> </w:t>
            </w:r>
            <w:r w:rsidRPr="002B2E88">
              <w:rPr>
                <w:rFonts w:cs="Arial"/>
              </w:rPr>
              <w:t>e.g. change of zoning or matters that involve significant</w:t>
            </w:r>
            <w:r>
              <w:rPr>
                <w:rFonts w:cs="Arial"/>
              </w:rPr>
              <w:t xml:space="preserve"> </w:t>
            </w:r>
            <w:r w:rsidRPr="002B2E88">
              <w:rPr>
                <w:rFonts w:cs="Arial"/>
              </w:rPr>
              <w:t>consideration of economic, environmental and transport issues</w:t>
            </w:r>
          </w:p>
        </w:tc>
        <w:tc>
          <w:tcPr>
            <w:tcW w:w="4984" w:type="dxa"/>
            <w:shd w:val="clear" w:color="auto" w:fill="FFFF99"/>
          </w:tcPr>
          <w:p w:rsidR="00727F1A" w:rsidRPr="002B2E88" w:rsidRDefault="00727F1A" w:rsidP="00F378DD">
            <w:pPr>
              <w:rPr>
                <w:rFonts w:cs="Arial"/>
              </w:rPr>
            </w:pPr>
            <w:r>
              <w:rPr>
                <w:rFonts w:cs="Arial"/>
              </w:rPr>
              <w:t>$10</w:t>
            </w:r>
            <w:r w:rsidRPr="002B2E88">
              <w:rPr>
                <w:rFonts w:cs="Arial"/>
              </w:rPr>
              <w:t>0,000</w:t>
            </w:r>
          </w:p>
        </w:tc>
      </w:tr>
      <w:tr w:rsidR="00727F1A" w:rsidRPr="002B2E88" w:rsidTr="00352998">
        <w:trPr>
          <w:trHeight w:val="851"/>
        </w:trPr>
        <w:tc>
          <w:tcPr>
            <w:tcW w:w="5459" w:type="dxa"/>
            <w:shd w:val="clear" w:color="auto" w:fill="FFFF99"/>
          </w:tcPr>
          <w:p w:rsidR="00727F1A" w:rsidRPr="002B2E88" w:rsidRDefault="00727F1A" w:rsidP="00F378DD">
            <w:pPr>
              <w:autoSpaceDE w:val="0"/>
              <w:autoSpaceDN w:val="0"/>
              <w:adjustRightInd w:val="0"/>
              <w:rPr>
                <w:rFonts w:cs="Arial"/>
              </w:rPr>
            </w:pPr>
            <w:r>
              <w:rPr>
                <w:rFonts w:cs="Arial"/>
              </w:rPr>
              <w:t>Precinct LEP Amendment e.g. similar to a complex LEP amendment but where the proposal relates to multiple lots</w:t>
            </w:r>
          </w:p>
        </w:tc>
        <w:tc>
          <w:tcPr>
            <w:tcW w:w="4984" w:type="dxa"/>
            <w:shd w:val="clear" w:color="auto" w:fill="FFFF99"/>
          </w:tcPr>
          <w:p w:rsidR="00727F1A" w:rsidRPr="002B2E88" w:rsidRDefault="00727F1A" w:rsidP="00F378DD">
            <w:pPr>
              <w:rPr>
                <w:rFonts w:cs="Arial"/>
              </w:rPr>
            </w:pPr>
            <w:r w:rsidRPr="002B2E88">
              <w:rPr>
                <w:rFonts w:cs="Arial"/>
              </w:rPr>
              <w:t>$</w:t>
            </w:r>
            <w:r>
              <w:rPr>
                <w:rFonts w:cs="Arial"/>
              </w:rPr>
              <w:t>1</w:t>
            </w:r>
            <w:r w:rsidRPr="002B2E88">
              <w:rPr>
                <w:rFonts w:cs="Arial"/>
              </w:rPr>
              <w:t>50,000</w:t>
            </w:r>
          </w:p>
        </w:tc>
      </w:tr>
      <w:tr w:rsidR="00727F1A" w:rsidRPr="002B2E88" w:rsidTr="00352998">
        <w:trPr>
          <w:trHeight w:val="851"/>
        </w:trPr>
        <w:tc>
          <w:tcPr>
            <w:tcW w:w="5459" w:type="dxa"/>
            <w:shd w:val="clear" w:color="auto" w:fill="FFFF99"/>
          </w:tcPr>
          <w:p w:rsidR="00727F1A" w:rsidRDefault="00727F1A" w:rsidP="00F378DD">
            <w:pPr>
              <w:autoSpaceDE w:val="0"/>
              <w:autoSpaceDN w:val="0"/>
              <w:adjustRightInd w:val="0"/>
              <w:rPr>
                <w:rFonts w:cs="Arial"/>
              </w:rPr>
            </w:pPr>
            <w:r>
              <w:rPr>
                <w:rFonts w:cs="Arial"/>
              </w:rPr>
              <w:t>Amended Planning Proposal</w:t>
            </w:r>
          </w:p>
        </w:tc>
        <w:tc>
          <w:tcPr>
            <w:tcW w:w="4984" w:type="dxa"/>
            <w:shd w:val="clear" w:color="auto" w:fill="FFFF99"/>
          </w:tcPr>
          <w:p w:rsidR="00727F1A" w:rsidRDefault="00727F1A" w:rsidP="00F378DD">
            <w:pPr>
              <w:rPr>
                <w:rFonts w:cs="Arial"/>
              </w:rPr>
            </w:pPr>
            <w:r>
              <w:rPr>
                <w:rFonts w:cs="Arial"/>
              </w:rPr>
              <w:t>25% of fee for Minor Planning Proposals</w:t>
            </w:r>
          </w:p>
          <w:p w:rsidR="00727F1A" w:rsidRPr="002B2E88" w:rsidRDefault="00727F1A" w:rsidP="00F378DD">
            <w:pPr>
              <w:rPr>
                <w:rFonts w:cs="Arial"/>
              </w:rPr>
            </w:pPr>
            <w:r>
              <w:rPr>
                <w:rFonts w:cs="Arial"/>
              </w:rPr>
              <w:t>50% of fee for Major, Complex and Precinct Planning Proposals</w:t>
            </w:r>
          </w:p>
        </w:tc>
      </w:tr>
      <w:tr w:rsidR="00727F1A" w:rsidRPr="002B2E88" w:rsidTr="00352998">
        <w:trPr>
          <w:trHeight w:val="562"/>
        </w:trPr>
        <w:tc>
          <w:tcPr>
            <w:tcW w:w="5459" w:type="dxa"/>
            <w:shd w:val="clear" w:color="auto" w:fill="FFFF99"/>
          </w:tcPr>
          <w:p w:rsidR="00727F1A" w:rsidRDefault="00727F1A" w:rsidP="00F378DD">
            <w:pPr>
              <w:autoSpaceDE w:val="0"/>
              <w:autoSpaceDN w:val="0"/>
              <w:adjustRightInd w:val="0"/>
              <w:rPr>
                <w:rFonts w:cs="Arial"/>
              </w:rPr>
            </w:pPr>
            <w:r>
              <w:rPr>
                <w:rFonts w:cs="Arial"/>
              </w:rPr>
              <w:t>Refund where withdrawn prior to the Planning Proposal being reported to Council</w:t>
            </w:r>
          </w:p>
        </w:tc>
        <w:tc>
          <w:tcPr>
            <w:tcW w:w="4984" w:type="dxa"/>
            <w:shd w:val="clear" w:color="auto" w:fill="FFFF99"/>
          </w:tcPr>
          <w:p w:rsidR="00727F1A" w:rsidRDefault="00727F1A" w:rsidP="00F378DD">
            <w:pPr>
              <w:rPr>
                <w:rFonts w:cs="Arial"/>
              </w:rPr>
            </w:pPr>
            <w:r>
              <w:rPr>
                <w:rFonts w:cs="Arial"/>
              </w:rPr>
              <w:t>Maximum 50% of Planning Proposal fee. At discretion of Council officers.</w:t>
            </w:r>
          </w:p>
        </w:tc>
      </w:tr>
      <w:tr w:rsidR="00727F1A" w:rsidRPr="002B2E88" w:rsidTr="00352998">
        <w:trPr>
          <w:trHeight w:val="579"/>
        </w:trPr>
        <w:tc>
          <w:tcPr>
            <w:tcW w:w="10443" w:type="dxa"/>
            <w:gridSpan w:val="2"/>
          </w:tcPr>
          <w:p w:rsidR="00727F1A" w:rsidRPr="002B2E88" w:rsidRDefault="00727F1A" w:rsidP="00F378DD">
            <w:pPr>
              <w:rPr>
                <w:rFonts w:cs="Arial"/>
                <w:b/>
              </w:rPr>
            </w:pPr>
            <w:r w:rsidRPr="002B2E88">
              <w:rPr>
                <w:rFonts w:cs="Arial"/>
                <w:b/>
              </w:rPr>
              <w:t>Amendments to Development Control Plan</w:t>
            </w:r>
            <w:r>
              <w:rPr>
                <w:rFonts w:cs="Arial"/>
                <w:b/>
              </w:rPr>
              <w:t xml:space="preserve">s </w:t>
            </w:r>
            <w:r w:rsidRPr="00352998">
              <w:rPr>
                <w:rFonts w:cs="Arial"/>
                <w:b/>
                <w:shd w:val="clear" w:color="auto" w:fill="FFFF99"/>
              </w:rPr>
              <w:t>(lodged in conjunction with a Planning Proposal or in isolation)</w:t>
            </w:r>
          </w:p>
        </w:tc>
      </w:tr>
      <w:tr w:rsidR="00727F1A" w:rsidRPr="002B2E88" w:rsidTr="00352998">
        <w:trPr>
          <w:trHeight w:val="272"/>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Minor DCP Amendment</w:t>
            </w:r>
          </w:p>
        </w:tc>
        <w:tc>
          <w:tcPr>
            <w:tcW w:w="4984" w:type="dxa"/>
            <w:shd w:val="clear" w:color="auto" w:fill="FFFF99"/>
          </w:tcPr>
          <w:p w:rsidR="00727F1A" w:rsidRPr="00727F1A" w:rsidRDefault="00727F1A" w:rsidP="00F378DD">
            <w:pPr>
              <w:rPr>
                <w:rFonts w:cs="Arial"/>
              </w:rPr>
            </w:pPr>
            <w:r w:rsidRPr="00727F1A">
              <w:rPr>
                <w:rFonts w:cs="Arial"/>
              </w:rPr>
              <w:t>$7,000</w:t>
            </w:r>
          </w:p>
        </w:tc>
      </w:tr>
      <w:tr w:rsidR="00727F1A" w:rsidRPr="002B2E88" w:rsidTr="00352998">
        <w:trPr>
          <w:trHeight w:val="272"/>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Major DCP Amendment</w:t>
            </w:r>
          </w:p>
        </w:tc>
        <w:tc>
          <w:tcPr>
            <w:tcW w:w="4984" w:type="dxa"/>
            <w:shd w:val="clear" w:color="auto" w:fill="FFFF99"/>
          </w:tcPr>
          <w:p w:rsidR="00727F1A" w:rsidRPr="00727F1A" w:rsidRDefault="00727F1A" w:rsidP="00F378DD">
            <w:pPr>
              <w:rPr>
                <w:rFonts w:cs="Arial"/>
              </w:rPr>
            </w:pPr>
            <w:r w:rsidRPr="00727F1A">
              <w:rPr>
                <w:rFonts w:cs="Arial"/>
              </w:rPr>
              <w:t>$20,000</w:t>
            </w:r>
          </w:p>
        </w:tc>
      </w:tr>
      <w:tr w:rsidR="00727F1A" w:rsidRPr="002B2E88" w:rsidTr="00352998">
        <w:trPr>
          <w:trHeight w:val="289"/>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Complex DCP Amendment</w:t>
            </w:r>
          </w:p>
        </w:tc>
        <w:tc>
          <w:tcPr>
            <w:tcW w:w="4984" w:type="dxa"/>
            <w:shd w:val="clear" w:color="auto" w:fill="FFFF99"/>
          </w:tcPr>
          <w:p w:rsidR="00727F1A" w:rsidRPr="00727F1A" w:rsidRDefault="00727F1A" w:rsidP="00F378DD">
            <w:pPr>
              <w:rPr>
                <w:rFonts w:cs="Arial"/>
              </w:rPr>
            </w:pPr>
            <w:r w:rsidRPr="00727F1A">
              <w:rPr>
                <w:rFonts w:cs="Arial"/>
              </w:rPr>
              <w:t>$35,000</w:t>
            </w:r>
          </w:p>
        </w:tc>
      </w:tr>
      <w:tr w:rsidR="00727F1A" w:rsidRPr="002B2E88" w:rsidTr="00352998">
        <w:trPr>
          <w:trHeight w:val="272"/>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Precinct DCP Amendment</w:t>
            </w:r>
          </w:p>
        </w:tc>
        <w:tc>
          <w:tcPr>
            <w:tcW w:w="4984" w:type="dxa"/>
            <w:shd w:val="clear" w:color="auto" w:fill="FFFF99"/>
          </w:tcPr>
          <w:p w:rsidR="00727F1A" w:rsidRPr="00727F1A" w:rsidRDefault="00727F1A" w:rsidP="00F378DD">
            <w:pPr>
              <w:rPr>
                <w:rFonts w:cs="Arial"/>
              </w:rPr>
            </w:pPr>
            <w:r w:rsidRPr="00727F1A">
              <w:rPr>
                <w:rFonts w:cs="Arial"/>
              </w:rPr>
              <w:t>$55,000</w:t>
            </w:r>
          </w:p>
        </w:tc>
      </w:tr>
      <w:tr w:rsidR="00727F1A" w:rsidRPr="002B2E88" w:rsidTr="00352998">
        <w:trPr>
          <w:trHeight w:val="562"/>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Refund where withdrawn prior to being reported to Council</w:t>
            </w:r>
          </w:p>
        </w:tc>
        <w:tc>
          <w:tcPr>
            <w:tcW w:w="4984" w:type="dxa"/>
            <w:shd w:val="clear" w:color="auto" w:fill="FFFF99"/>
          </w:tcPr>
          <w:p w:rsidR="00727F1A" w:rsidRPr="00727F1A" w:rsidRDefault="00727F1A" w:rsidP="00F378DD">
            <w:pPr>
              <w:rPr>
                <w:rFonts w:cs="Arial"/>
              </w:rPr>
            </w:pPr>
            <w:r w:rsidRPr="00727F1A">
              <w:rPr>
                <w:rFonts w:cs="Arial"/>
              </w:rPr>
              <w:t>Maximum 50% of DCP amendment fee. At discretion of Council officers.</w:t>
            </w:r>
          </w:p>
        </w:tc>
      </w:tr>
      <w:tr w:rsidR="00727F1A" w:rsidRPr="002B2E88" w:rsidTr="00352998">
        <w:trPr>
          <w:trHeight w:val="289"/>
        </w:trPr>
        <w:tc>
          <w:tcPr>
            <w:tcW w:w="10443" w:type="dxa"/>
            <w:gridSpan w:val="2"/>
            <w:tcBorders>
              <w:bottom w:val="single" w:sz="4" w:space="0" w:color="auto"/>
            </w:tcBorders>
            <w:shd w:val="clear" w:color="auto" w:fill="FFFF99"/>
          </w:tcPr>
          <w:p w:rsidR="00727F1A" w:rsidRPr="00727F1A" w:rsidRDefault="00727F1A" w:rsidP="00F378DD">
            <w:pPr>
              <w:rPr>
                <w:rFonts w:cs="Arial"/>
                <w:b/>
              </w:rPr>
            </w:pPr>
            <w:r w:rsidRPr="00727F1A">
              <w:rPr>
                <w:rFonts w:cs="Arial"/>
                <w:b/>
              </w:rPr>
              <w:t>Advertisement and notification of LEP and DCP amendments</w:t>
            </w:r>
          </w:p>
        </w:tc>
      </w:tr>
      <w:tr w:rsidR="00727F1A" w:rsidRPr="002B2E88" w:rsidTr="00352998">
        <w:trPr>
          <w:trHeight w:val="272"/>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Advertising</w:t>
            </w:r>
          </w:p>
        </w:tc>
        <w:tc>
          <w:tcPr>
            <w:tcW w:w="4984" w:type="dxa"/>
            <w:shd w:val="clear" w:color="auto" w:fill="FFFF99"/>
          </w:tcPr>
          <w:p w:rsidR="00727F1A" w:rsidRPr="00727F1A" w:rsidRDefault="00727F1A" w:rsidP="00F378DD">
            <w:pPr>
              <w:rPr>
                <w:rFonts w:cs="Arial"/>
              </w:rPr>
            </w:pPr>
            <w:r w:rsidRPr="00727F1A">
              <w:rPr>
                <w:rFonts w:cs="Arial"/>
              </w:rPr>
              <w:t>$3,000</w:t>
            </w:r>
          </w:p>
        </w:tc>
      </w:tr>
      <w:tr w:rsidR="00727F1A" w:rsidRPr="002B2E88" w:rsidTr="00352998">
        <w:trPr>
          <w:trHeight w:val="289"/>
        </w:trPr>
        <w:tc>
          <w:tcPr>
            <w:tcW w:w="5459" w:type="dxa"/>
            <w:shd w:val="clear" w:color="auto" w:fill="FFFF99"/>
          </w:tcPr>
          <w:p w:rsidR="00727F1A" w:rsidRPr="00727F1A" w:rsidRDefault="00727F1A" w:rsidP="00F378DD">
            <w:pPr>
              <w:autoSpaceDE w:val="0"/>
              <w:autoSpaceDN w:val="0"/>
              <w:adjustRightInd w:val="0"/>
              <w:rPr>
                <w:rFonts w:cs="Arial"/>
              </w:rPr>
            </w:pPr>
            <w:r w:rsidRPr="00727F1A">
              <w:rPr>
                <w:rFonts w:cs="Arial"/>
              </w:rPr>
              <w:t>Notification</w:t>
            </w:r>
          </w:p>
        </w:tc>
        <w:tc>
          <w:tcPr>
            <w:tcW w:w="4984" w:type="dxa"/>
            <w:shd w:val="clear" w:color="auto" w:fill="FFFF99"/>
          </w:tcPr>
          <w:p w:rsidR="00727F1A" w:rsidRPr="00727F1A" w:rsidRDefault="00727F1A" w:rsidP="00F378DD">
            <w:pPr>
              <w:rPr>
                <w:rFonts w:cs="Arial"/>
              </w:rPr>
            </w:pPr>
            <w:r w:rsidRPr="00727F1A">
              <w:rPr>
                <w:rFonts w:cs="Arial"/>
              </w:rPr>
              <w:t>$2.00</w:t>
            </w:r>
            <w:r>
              <w:rPr>
                <w:rFonts w:cs="Arial"/>
              </w:rPr>
              <w:t xml:space="preserve"> per property notified</w:t>
            </w:r>
          </w:p>
        </w:tc>
      </w:tr>
      <w:tr w:rsidR="00727F1A" w:rsidRPr="002B2E88" w:rsidTr="00352998">
        <w:trPr>
          <w:trHeight w:val="272"/>
        </w:trPr>
        <w:tc>
          <w:tcPr>
            <w:tcW w:w="10443" w:type="dxa"/>
            <w:gridSpan w:val="2"/>
          </w:tcPr>
          <w:p w:rsidR="00727F1A" w:rsidRPr="002B2E88" w:rsidRDefault="00727F1A" w:rsidP="00F378DD">
            <w:pPr>
              <w:rPr>
                <w:rFonts w:cs="Arial"/>
                <w:b/>
              </w:rPr>
            </w:pPr>
            <w:r w:rsidRPr="002B2E88">
              <w:rPr>
                <w:rFonts w:cs="Arial"/>
                <w:b/>
              </w:rPr>
              <w:t>Public Hearing</w:t>
            </w:r>
          </w:p>
        </w:tc>
      </w:tr>
      <w:tr w:rsidR="00727F1A" w:rsidRPr="002B2E88" w:rsidTr="00352998">
        <w:trPr>
          <w:trHeight w:val="74"/>
        </w:trPr>
        <w:tc>
          <w:tcPr>
            <w:tcW w:w="5459" w:type="dxa"/>
          </w:tcPr>
          <w:p w:rsidR="00727F1A" w:rsidRPr="002B2E88" w:rsidRDefault="00727F1A" w:rsidP="00F378DD">
            <w:pPr>
              <w:autoSpaceDE w:val="0"/>
              <w:autoSpaceDN w:val="0"/>
              <w:adjustRightInd w:val="0"/>
              <w:rPr>
                <w:rFonts w:cs="Arial"/>
              </w:rPr>
            </w:pPr>
            <w:r w:rsidRPr="002B2E88">
              <w:rPr>
                <w:rFonts w:cs="Arial"/>
              </w:rPr>
              <w:t>Public Hearing if required. Cost recovery to Council</w:t>
            </w:r>
            <w:r>
              <w:rPr>
                <w:rFonts w:cs="Arial"/>
              </w:rPr>
              <w:t>.</w:t>
            </w:r>
          </w:p>
        </w:tc>
        <w:tc>
          <w:tcPr>
            <w:tcW w:w="4984" w:type="dxa"/>
          </w:tcPr>
          <w:p w:rsidR="00727F1A" w:rsidRPr="002B2E88" w:rsidRDefault="00727F1A" w:rsidP="00F378DD">
            <w:pPr>
              <w:rPr>
                <w:rFonts w:cs="Arial"/>
              </w:rPr>
            </w:pPr>
            <w:r w:rsidRPr="002B2E88">
              <w:rPr>
                <w:rFonts w:cs="Arial"/>
              </w:rPr>
              <w:t>At cost</w:t>
            </w:r>
          </w:p>
        </w:tc>
      </w:tr>
      <w:tr w:rsidR="00727F1A" w:rsidRPr="002B2E88" w:rsidTr="00352998">
        <w:trPr>
          <w:trHeight w:val="74"/>
        </w:trPr>
        <w:tc>
          <w:tcPr>
            <w:tcW w:w="10443" w:type="dxa"/>
            <w:gridSpan w:val="2"/>
          </w:tcPr>
          <w:p w:rsidR="00727F1A" w:rsidRPr="002B2E88" w:rsidRDefault="00727F1A" w:rsidP="00F378DD">
            <w:pPr>
              <w:rPr>
                <w:rFonts w:cs="Arial"/>
              </w:rPr>
            </w:pPr>
            <w:r w:rsidRPr="002B2E88">
              <w:rPr>
                <w:rFonts w:cs="Arial"/>
                <w:b/>
              </w:rPr>
              <w:t>Additional costs and expenses</w:t>
            </w:r>
          </w:p>
        </w:tc>
      </w:tr>
      <w:tr w:rsidR="00727F1A" w:rsidRPr="002B2E88" w:rsidTr="00352998">
        <w:trPr>
          <w:trHeight w:val="1719"/>
        </w:trPr>
        <w:tc>
          <w:tcPr>
            <w:tcW w:w="5459" w:type="dxa"/>
            <w:shd w:val="clear" w:color="auto" w:fill="FFFF99"/>
          </w:tcPr>
          <w:p w:rsidR="00727F1A" w:rsidRPr="002B2E88" w:rsidRDefault="00727F1A" w:rsidP="00F378DD">
            <w:pPr>
              <w:autoSpaceDE w:val="0"/>
              <w:autoSpaceDN w:val="0"/>
              <w:adjustRightInd w:val="0"/>
              <w:rPr>
                <w:rFonts w:cs="Arial"/>
              </w:rPr>
            </w:pPr>
            <w:r w:rsidRPr="00727F1A">
              <w:rPr>
                <w:rFonts w:cs="Arial"/>
                <w:shd w:val="clear" w:color="auto" w:fill="FFFF99"/>
              </w:rPr>
              <w:t>For all LEP and DCP amendments any additional costs and expenses incurred by Council in undertaking studies, peer reviews, referral to panels (Inner West Planning Panel and Architectural Excellence Panel) and other matters</w:t>
            </w:r>
            <w:r w:rsidRPr="002B2E88">
              <w:rPr>
                <w:rFonts w:cs="Arial"/>
              </w:rPr>
              <w:t xml:space="preserve"> are to be paid at cost</w:t>
            </w:r>
          </w:p>
        </w:tc>
        <w:tc>
          <w:tcPr>
            <w:tcW w:w="4984" w:type="dxa"/>
          </w:tcPr>
          <w:p w:rsidR="00727F1A" w:rsidRPr="002B2E88" w:rsidRDefault="00727F1A" w:rsidP="00F378DD">
            <w:pPr>
              <w:rPr>
                <w:rFonts w:cs="Arial"/>
              </w:rPr>
            </w:pPr>
            <w:r w:rsidRPr="002B2E88">
              <w:rPr>
                <w:rFonts w:cs="Arial"/>
              </w:rPr>
              <w:t>At cost</w:t>
            </w:r>
          </w:p>
        </w:tc>
      </w:tr>
    </w:tbl>
    <w:p w:rsidR="00EF7C3A" w:rsidRDefault="00EF7C3A" w:rsidP="00EF7C3A"/>
    <w:sectPr w:rsidR="00EF7C3A" w:rsidSect="009A09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1A" w:rsidRDefault="00727F1A" w:rsidP="00727F1A">
      <w:pPr>
        <w:spacing w:after="0" w:line="240" w:lineRule="auto"/>
      </w:pPr>
      <w:r>
        <w:separator/>
      </w:r>
    </w:p>
  </w:endnote>
  <w:endnote w:type="continuationSeparator" w:id="0">
    <w:p w:rsidR="00727F1A" w:rsidRDefault="00727F1A" w:rsidP="0072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1A" w:rsidRDefault="00727F1A" w:rsidP="00727F1A">
      <w:pPr>
        <w:spacing w:after="0" w:line="240" w:lineRule="auto"/>
      </w:pPr>
      <w:r>
        <w:separator/>
      </w:r>
    </w:p>
  </w:footnote>
  <w:footnote w:type="continuationSeparator" w:id="0">
    <w:p w:rsidR="00727F1A" w:rsidRDefault="00727F1A" w:rsidP="00727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A" w:rsidRDefault="00727F1A">
    <w:pPr>
      <w:pStyle w:val="Header"/>
    </w:pPr>
    <w:r>
      <w:rPr>
        <w:noProof/>
        <w:lang w:eastAsia="en-AU"/>
      </w:rPr>
      <w:drawing>
        <wp:inline distT="0" distB="0" distL="0" distR="0" wp14:anchorId="63157AFB" wp14:editId="4A1BE425">
          <wp:extent cx="3302000" cy="484292"/>
          <wp:effectExtent l="0" t="0" r="0" b="0"/>
          <wp:docPr id="1" name="Picture 1" descr="C:\Users\AD04612\Desktop\IWC_horizontal logo 2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04612\Desktop\IWC_horizontal logo 2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000" cy="4842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3A"/>
    <w:rsid w:val="00094349"/>
    <w:rsid w:val="00096FDF"/>
    <w:rsid w:val="00352998"/>
    <w:rsid w:val="00727F1A"/>
    <w:rsid w:val="009A0969"/>
    <w:rsid w:val="00AB6B22"/>
    <w:rsid w:val="00B379B2"/>
    <w:rsid w:val="00D51E67"/>
    <w:rsid w:val="00EF7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F1A"/>
  </w:style>
  <w:style w:type="paragraph" w:styleId="Footer">
    <w:name w:val="footer"/>
    <w:basedOn w:val="Normal"/>
    <w:link w:val="FooterChar"/>
    <w:uiPriority w:val="99"/>
    <w:unhideWhenUsed/>
    <w:rsid w:val="0072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F1A"/>
  </w:style>
  <w:style w:type="paragraph" w:styleId="BalloonText">
    <w:name w:val="Balloon Text"/>
    <w:basedOn w:val="Normal"/>
    <w:link w:val="BalloonTextChar"/>
    <w:uiPriority w:val="99"/>
    <w:semiHidden/>
    <w:unhideWhenUsed/>
    <w:rsid w:val="0072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F1A"/>
  </w:style>
  <w:style w:type="paragraph" w:styleId="Footer">
    <w:name w:val="footer"/>
    <w:basedOn w:val="Normal"/>
    <w:link w:val="FooterChar"/>
    <w:uiPriority w:val="99"/>
    <w:unhideWhenUsed/>
    <w:rsid w:val="0072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F1A"/>
  </w:style>
  <w:style w:type="paragraph" w:styleId="BalloonText">
    <w:name w:val="Balloon Text"/>
    <w:basedOn w:val="Normal"/>
    <w:link w:val="BalloonTextChar"/>
    <w:uiPriority w:val="99"/>
    <w:semiHidden/>
    <w:unhideWhenUsed/>
    <w:rsid w:val="0072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73B3-D77D-4293-A1EC-0168C985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Leichhardt Municipal Council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Chiswick, Leah</dc:creator>
  <cp:lastModifiedBy>cm04626</cp:lastModifiedBy>
  <cp:revision>2</cp:revision>
  <dcterms:created xsi:type="dcterms:W3CDTF">2018-05-03T04:46:00Z</dcterms:created>
  <dcterms:modified xsi:type="dcterms:W3CDTF">2018-05-03T04:46:00Z</dcterms:modified>
</cp:coreProperties>
</file>